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50CC2" w:rsidP="00150CC2" w:rsidRDefault="00150CC2" w14:paraId="04742DBF" wp14:textId="77777777">
      <w:pPr>
        <w:spacing w:after="0" w:line="240" w:lineRule="auto"/>
        <w:rPr>
          <w:rStyle w:val="normaltextrun"/>
          <w:rFonts w:ascii="Calibri" w:hAnsi="Calibri" w:cs="Calibri"/>
        </w:rPr>
      </w:pPr>
      <w:r>
        <w:rPr>
          <w:rFonts w:ascii="Calibri" w:hAnsi="Calibri" w:eastAsia="Times New Roman" w:cs="Calibri"/>
          <w:color w:val="000000"/>
          <w:sz w:val="24"/>
          <w:szCs w:val="24"/>
          <w:u w:val="single"/>
        </w:rPr>
        <w:t xml:space="preserve">2022 </w:t>
      </w:r>
      <w:r>
        <w:rPr>
          <w:rStyle w:val="normaltextrun"/>
          <w:rFonts w:ascii="Calibri" w:hAnsi="Calibri" w:cs="Calibri"/>
        </w:rPr>
        <w:t>HMIS and Data Management Protocol</w:t>
      </w:r>
    </w:p>
    <w:p xmlns:wp14="http://schemas.microsoft.com/office/word/2010/wordml" w:rsidR="00150CC2" w:rsidP="00150CC2" w:rsidRDefault="00150CC2" w14:paraId="672A6659" wp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u w:val="single"/>
        </w:rPr>
      </w:pPr>
    </w:p>
    <w:p xmlns:wp14="http://schemas.microsoft.com/office/word/2010/wordml" w:rsidRPr="00150CC2" w:rsidR="00150CC2" w:rsidP="00150CC2" w:rsidRDefault="00150CC2" w14:paraId="79915C9A" wp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150CC2">
        <w:rPr>
          <w:rFonts w:ascii="Calibri" w:hAnsi="Calibri" w:eastAsia="Times New Roman" w:cs="Calibri"/>
          <w:color w:val="000000"/>
          <w:sz w:val="24"/>
          <w:szCs w:val="24"/>
          <w:u w:val="single"/>
        </w:rPr>
        <w:t>HMIS Operations; Policy and Procedures</w:t>
      </w:r>
    </w:p>
    <w:p xmlns:wp14="http://schemas.microsoft.com/office/word/2010/wordml" w:rsidRPr="00150CC2" w:rsidR="00150CC2" w:rsidP="00150CC2" w:rsidRDefault="006670D9" w14:paraId="60625F3D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___</w:t>
      </w:r>
      <w:r w:rsidRPr="00150CC2" w:rsidR="00150CC2">
        <w:rPr>
          <w:rFonts w:ascii="Calibri" w:hAnsi="Calibri" w:eastAsia="Times New Roman" w:cs="Calibri"/>
          <w:bCs/>
          <w:color w:val="000000"/>
          <w:sz w:val="24"/>
          <w:szCs w:val="24"/>
        </w:rPr>
        <w:t>The agency has signed an HMIS Participation Agreement</w:t>
      </w:r>
      <w:r w:rsidRPr="00150CC2" w:rsidR="00150CC2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 xml:space="preserve"> </w:t>
      </w:r>
      <w:r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(This is beginning in 2022, will not be evaluated this year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)</w:t>
      </w:r>
    </w:p>
    <w:p xmlns:wp14="http://schemas.microsoft.com/office/word/2010/wordml" w:rsidRPr="00150CC2" w:rsidR="00150CC2" w:rsidP="00150CC2" w:rsidRDefault="006670D9" w14:paraId="7DD5F76B" wp14:textId="777777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>___</w:t>
      </w:r>
      <w:r w:rsidRPr="00150CC2" w:rsidR="00150CC2">
        <w:rPr>
          <w:rFonts w:ascii="Calibri" w:hAnsi="Calibri" w:eastAsia="Times New Roman" w:cs="Calibri"/>
          <w:bCs/>
          <w:color w:val="000000"/>
          <w:sz w:val="24"/>
          <w:szCs w:val="24"/>
        </w:rPr>
        <w:t>The agency has designated an HMIS Site Manager, who is the agency’s single point of contact for the HMIS Lead Agency</w:t>
      </w:r>
      <w:r w:rsidRPr="00150CC2" w:rsidR="00150CC2">
        <w:rPr>
          <w:rFonts w:ascii="Calibri" w:hAnsi="Calibri" w:eastAsia="Times New Roman" w:cs="Calibri"/>
          <w:b/>
          <w:bCs/>
          <w:color w:val="000000"/>
          <w:sz w:val="24"/>
          <w:szCs w:val="24"/>
        </w:rPr>
        <w:t xml:space="preserve">. 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 xml:space="preserve">(agencies </w:t>
      </w:r>
      <w:r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 xml:space="preserve">are given 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 xml:space="preserve">until June </w:t>
      </w:r>
      <w:r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 xml:space="preserve">2022 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to appoint someone and may change the wording/terms for these roles)</w:t>
      </w:r>
    </w:p>
    <w:p xmlns:wp14="http://schemas.microsoft.com/office/word/2010/wordml" w:rsidRPr="00150CC2" w:rsidR="00150CC2" w:rsidP="5054872D" w:rsidRDefault="006670D9" w14:paraId="1C1FB0D6" wp14:textId="77777777" wp14:noSpellErr="1">
      <w:pPr>
        <w:numPr>
          <w:ilvl w:val="0"/>
          <w:numId w:val="1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5054872D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___</w:t>
      </w:r>
      <w:r w:rsidRPr="5054872D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The agency has ensured that each HMIS user within its agency has signed a user agreement stating full understanding of user rules, protocols and confidentiality.</w:t>
      </w:r>
    </w:p>
    <w:p w:rsidR="5054872D" w:rsidP="5054872D" w:rsidRDefault="5054872D" w14:paraId="46EB5F4A" w14:textId="61CB6E25">
      <w:pPr>
        <w:pStyle w:val="Normal"/>
        <w:numPr>
          <w:ilvl w:val="0"/>
          <w:numId w:val="1"/>
        </w:numPr>
        <w:spacing w:beforeAutospacing="on" w:afterAutospacing="on" w:line="240" w:lineRule="auto"/>
        <w:rPr>
          <w:color w:val="000000" w:themeColor="text1" w:themeTint="FF" w:themeShade="FF"/>
          <w:sz w:val="24"/>
          <w:szCs w:val="24"/>
        </w:rPr>
      </w:pP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___The agency conducts a thorough review of internal policies and procedures regarding HMIS every six months. </w:t>
      </w: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highlight w:val="yellow"/>
        </w:rPr>
        <w:t>(</w:t>
      </w: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highlight w:val="yellow"/>
        </w:rPr>
        <w:t>ask for date of last review? Not scored in 2022)</w:t>
      </w:r>
    </w:p>
    <w:p xmlns:wp14="http://schemas.microsoft.com/office/word/2010/wordml" w:rsidRPr="00150CC2" w:rsidR="00150CC2" w:rsidP="00150CC2" w:rsidRDefault="00150CC2" w14:paraId="1EDA7F86" wp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150CC2">
        <w:rPr>
          <w:rFonts w:ascii="Calibri" w:hAnsi="Calibri" w:eastAsia="Times New Roman" w:cs="Calibri"/>
          <w:color w:val="000000"/>
          <w:sz w:val="24"/>
          <w:szCs w:val="24"/>
          <w:u w:val="single"/>
        </w:rPr>
        <w:t>Privacy</w:t>
      </w:r>
    </w:p>
    <w:p xmlns:wp14="http://schemas.microsoft.com/office/word/2010/wordml" w:rsidRPr="006670D9" w:rsidR="006670D9" w:rsidP="00061AB8" w:rsidRDefault="006670D9" w14:paraId="03571646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6670D9">
        <w:rPr>
          <w:rFonts w:ascii="Calibri" w:hAnsi="Calibri" w:eastAsia="Times New Roman" w:cs="Calibri"/>
          <w:bCs/>
          <w:color w:val="000000"/>
          <w:sz w:val="24"/>
          <w:szCs w:val="24"/>
        </w:rPr>
        <w:t>___</w:t>
      </w:r>
      <w:r w:rsidRPr="00150CC2" w:rsidR="00150CC2">
        <w:rPr>
          <w:rFonts w:ascii="Calibri" w:hAnsi="Calibri" w:eastAsia="Times New Roman" w:cs="Calibri"/>
          <w:bCs/>
          <w:color w:val="000000"/>
          <w:sz w:val="24"/>
          <w:szCs w:val="24"/>
        </w:rPr>
        <w:t xml:space="preserve">The agency has a Data Collection/Privacy Notice </w:t>
      </w:r>
      <w:r w:rsidRPr="00150CC2" w:rsidR="00150CC2">
        <w:rPr>
          <w:rFonts w:ascii="Calibri" w:hAnsi="Calibri" w:eastAsia="Times New Roman" w:cs="Calibri"/>
          <w:bCs/>
          <w:i/>
          <w:color w:val="000000"/>
          <w:sz w:val="24"/>
          <w:szCs w:val="24"/>
        </w:rPr>
        <w:t>posted</w:t>
      </w:r>
      <w:r w:rsidRPr="006670D9">
        <w:rPr>
          <w:rFonts w:ascii="Calibri" w:hAnsi="Calibri" w:eastAsia="Times New Roman" w:cs="Calibri"/>
          <w:bCs/>
          <w:i/>
          <w:color w:val="000000"/>
          <w:sz w:val="24"/>
          <w:szCs w:val="24"/>
        </w:rPr>
        <w:t xml:space="preserve"> (if at all possible,</w:t>
      </w:r>
      <w:r w:rsidRPr="00150CC2" w:rsidR="00150CC2">
        <w:rPr>
          <w:rFonts w:ascii="Calibri" w:hAnsi="Calibri" w:eastAsia="Times New Roman" w:cs="Calibri"/>
          <w:bCs/>
          <w:i/>
          <w:color w:val="000000"/>
          <w:sz w:val="24"/>
          <w:szCs w:val="24"/>
        </w:rPr>
        <w:t xml:space="preserve"> in English and Spanish</w:t>
      </w:r>
      <w:r w:rsidRPr="006670D9">
        <w:rPr>
          <w:rFonts w:ascii="Calibri" w:hAnsi="Calibri" w:eastAsia="Times New Roman" w:cs="Calibri"/>
          <w:bCs/>
          <w:i/>
          <w:color w:val="000000"/>
          <w:sz w:val="24"/>
          <w:szCs w:val="24"/>
        </w:rPr>
        <w:t>)</w:t>
      </w:r>
      <w:r w:rsidRPr="00150CC2" w:rsidR="00150CC2">
        <w:rPr>
          <w:rFonts w:ascii="Calibri" w:hAnsi="Calibri" w:eastAsia="Times New Roman" w:cs="Calibri"/>
          <w:bCs/>
          <w:i/>
          <w:color w:val="000000"/>
          <w:sz w:val="24"/>
          <w:szCs w:val="24"/>
        </w:rPr>
        <w:t xml:space="preserve"> </w:t>
      </w:r>
      <w:r w:rsidRPr="00150CC2" w:rsidR="00150CC2">
        <w:rPr>
          <w:rFonts w:ascii="Calibri" w:hAnsi="Calibri" w:eastAsia="Times New Roman" w:cs="Calibri"/>
          <w:bCs/>
          <w:color w:val="000000"/>
          <w:sz w:val="24"/>
          <w:szCs w:val="24"/>
        </w:rPr>
        <w:t xml:space="preserve">at each intake location. </w:t>
      </w:r>
    </w:p>
    <w:p xmlns:wp14="http://schemas.microsoft.com/office/word/2010/wordml" w:rsidRPr="00150CC2" w:rsidR="00150CC2" w:rsidP="5054872D" w:rsidRDefault="006670D9" w14:paraId="57BCA534" wp14:textId="05F15D44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6670D9" w:rsidR="006670D9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___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The agency has a written Privacy Statement or uses the 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>CoC’s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written Privacy Statement 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  <w:highlight w:val="yellow"/>
        </w:rPr>
        <w:t xml:space="preserve">(CoC Privacy Statement for agencies is not yet available)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. </w:t>
      </w:r>
    </w:p>
    <w:p xmlns:wp14="http://schemas.microsoft.com/office/word/2010/wordml" w:rsidRPr="00150CC2" w:rsidR="00150CC2" w:rsidP="5054872D" w:rsidRDefault="006670D9" w14:paraId="2FA8F272" wp14:textId="42425D12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5054872D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___</w:t>
      </w:r>
      <w:r w:rsidRPr="5054872D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If the agency has a web </w:t>
      </w:r>
      <w:r w:rsidRPr="5054872D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site,</w:t>
      </w:r>
      <w:r w:rsidRPr="5054872D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the Privacy Statement is posted to the web site. </w:t>
      </w:r>
    </w:p>
    <w:p xmlns:wp14="http://schemas.microsoft.com/office/word/2010/wordml" w:rsidRPr="00150CC2" w:rsidR="00150CC2" w:rsidP="2AF7642A" w:rsidRDefault="006670D9" w14:paraId="7096B21F" wp14:textId="2500DEE9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2AF7642A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___</w:t>
      </w: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The agency has a signed authorization for release of information form that it uses for any client for which the agency enters into a Three County Coc HMIS/data warehouse</w:t>
      </w:r>
    </w:p>
    <w:p xmlns:wp14="http://schemas.microsoft.com/office/word/2010/wordml" w:rsidRPr="00150CC2" w:rsidR="00150CC2" w:rsidP="00150CC2" w:rsidRDefault="006670D9" w14:paraId="21FC1FA3" wp14:textId="777777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>
        <w:rPr>
          <w:rFonts w:ascii="Calibri" w:hAnsi="Calibri" w:eastAsia="Times New Roman" w:cs="Calibri"/>
          <w:color w:val="000000"/>
          <w:sz w:val="24"/>
          <w:szCs w:val="24"/>
        </w:rPr>
        <w:t>___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The agency ensures that all signed forms </w:t>
      </w:r>
      <w:proofErr w:type="gramStart"/>
      <w:r w:rsidRPr="00150CC2" w:rsidR="00150CC2">
        <w:rPr>
          <w:rFonts w:ascii="Calibri" w:hAnsi="Calibri" w:eastAsia="Times New Roman" w:cs="Calibri"/>
          <w:color w:val="000000"/>
          <w:sz w:val="24"/>
          <w:szCs w:val="24"/>
        </w:rPr>
        <w:t>are locked</w:t>
      </w:r>
      <w:proofErr w:type="gramEnd"/>
      <w:r w:rsidRPr="00150CC2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in a designated location with limited access to staff.  </w:t>
      </w:r>
    </w:p>
    <w:p xmlns:wp14="http://schemas.microsoft.com/office/word/2010/wordml" w:rsidRPr="00150CC2" w:rsidR="00150CC2" w:rsidP="5054872D" w:rsidRDefault="006670D9" w14:paraId="4B183BEE" wp14:textId="72D907F6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5054872D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___</w:t>
      </w:r>
      <w:r w:rsidRPr="5054872D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The Agency has executed the Agency Sharing Data Agreement, if applicable. </w:t>
      </w:r>
      <w:r w:rsidRPr="5054872D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highlight w:val="yellow"/>
        </w:rPr>
        <w:t>(don’t have anything like this currently, may become relevant at some point) </w:t>
      </w:r>
    </w:p>
    <w:p xmlns:wp14="http://schemas.microsoft.com/office/word/2010/wordml" w:rsidRPr="00150CC2" w:rsidR="00150CC2" w:rsidP="2AF7642A" w:rsidRDefault="006670D9" w14:paraId="46F278E6" wp14:textId="77FCF599">
      <w:pPr>
        <w:numPr>
          <w:ilvl w:val="0"/>
          <w:numId w:val="2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2AF7642A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___</w:t>
      </w: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The agency has a written client complaint</w:t>
      </w:r>
      <w:r w:rsidRPr="2AF7642A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/grievance</w:t>
      </w: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policy and</w:t>
      </w: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a process of tracking all filed complaints and can provide copies of complaints and resolution to the HMIS Lead Agency if requested</w:t>
      </w:r>
      <w:r w:rsidRPr="2AF7642A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150CC2" w:rsidR="00150CC2" w:rsidP="00150CC2" w:rsidRDefault="00150CC2" w14:paraId="0A37501D" wp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</w:p>
    <w:p xmlns:wp14="http://schemas.microsoft.com/office/word/2010/wordml" w:rsidRPr="00150CC2" w:rsidR="00150CC2" w:rsidP="00150CC2" w:rsidRDefault="00150CC2" w14:paraId="59E35D42" wp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150CC2">
        <w:rPr>
          <w:rFonts w:ascii="Calibri" w:hAnsi="Calibri" w:eastAsia="Times New Roman" w:cs="Calibri"/>
          <w:color w:val="000000"/>
          <w:sz w:val="24"/>
          <w:szCs w:val="24"/>
          <w:u w:val="single"/>
        </w:rPr>
        <w:t>Security</w:t>
      </w:r>
    </w:p>
    <w:p xmlns:wp14="http://schemas.microsoft.com/office/word/2010/wordml" w:rsidRPr="00150CC2" w:rsidR="00150CC2" w:rsidP="00150CC2" w:rsidRDefault="00150CC2" w14:paraId="5DAB6C7B" wp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</w:p>
    <w:p xmlns:wp14="http://schemas.microsoft.com/office/word/2010/wordml" w:rsidRPr="006670D9" w:rsidR="006670D9" w:rsidP="2AF7642A" w:rsidRDefault="006670D9" w14:paraId="31A82E2E" wp14:textId="5E333A75">
      <w:pPr>
        <w:numPr>
          <w:ilvl w:val="0"/>
          <w:numId w:val="3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2AF7642A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___</w:t>
      </w: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Agency maintains a list of active HMIS users. </w:t>
      </w: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highlight w:val="yellow"/>
        </w:rPr>
        <w:t>(Suggested best practice, not scored)</w:t>
      </w:r>
    </w:p>
    <w:p xmlns:wp14="http://schemas.microsoft.com/office/word/2010/wordml" w:rsidRPr="00150CC2" w:rsidR="00150CC2" w:rsidP="5054872D" w:rsidRDefault="006670D9" w14:paraId="7F5FE30F" wp14:textId="5C76986F">
      <w:pPr>
        <w:numPr>
          <w:ilvl w:val="0"/>
          <w:numId w:val="3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2AF7642A" w:rsidR="006670D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___</w:t>
      </w: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Agency contacts the HMIS Lead when an employee leaves the agency</w:t>
      </w:r>
      <w:r w:rsidRPr="2AF7642A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within 24 hours</w:t>
      </w: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, in order to make sure that the person’s HMIS and/or data warehouse account is disabled.</w:t>
      </w:r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>(</w:t>
      </w:r>
      <w:proofErr w:type="gramStart"/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>not</w:t>
      </w:r>
      <w:proofErr w:type="gramEnd"/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  <w:highlight w:val="yellow"/>
        </w:rPr>
        <w:t xml:space="preserve"> scored in 2022)</w:t>
      </w:r>
    </w:p>
    <w:p xmlns:wp14="http://schemas.microsoft.com/office/word/2010/wordml" w:rsidRPr="00150CC2" w:rsidR="00150CC2" w:rsidP="5054872D" w:rsidRDefault="006670D9" wp14:textId="77777777" w14:paraId="5E489A7B">
      <w:pPr>
        <w:numPr>
          <w:ilvl w:val="0"/>
          <w:numId w:val="3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="006670D9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</w:rPr>
        <w:t>___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>The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agency’s HMIS workstations 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 xml:space="preserve">are 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located in secure locations where only authorized persons have access and are not accessible to clients, the public, or any unauthorized agency staff or volunteers.</w:t>
      </w:r>
    </w:p>
    <w:p xmlns:wp14="http://schemas.microsoft.com/office/word/2010/wordml" w:rsidRPr="00150CC2" w:rsidR="00150CC2" w:rsidP="5054872D" w:rsidRDefault="006670D9" w14:paraId="0EA35FED" wp14:textId="481B23A6">
      <w:pPr>
        <w:pStyle w:val="Normal"/>
        <w:numPr>
          <w:ilvl w:val="0"/>
          <w:numId w:val="3"/>
        </w:numPr>
        <w:spacing w:before="100" w:beforeAutospacing="on" w:after="100" w:afterAutospacing="on" w:line="240" w:lineRule="auto"/>
        <w:rPr>
          <w:b w:val="0"/>
          <w:bCs w:val="0"/>
          <w:color w:val="000000"/>
          <w:sz w:val="24"/>
          <w:szCs w:val="24"/>
        </w:rPr>
      </w:pPr>
      <w:r w:rsidRPr="2AF7642A" w:rsidR="5054872D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</w:rPr>
        <w:t xml:space="preserve">___HMIS data is only entered at workstations included in workstation security self-audits </w:t>
      </w:r>
      <w:r w:rsidRPr="2AF7642A" w:rsidR="5054872D">
        <w:rPr>
          <w:rFonts w:ascii="Calibri" w:hAnsi="Calibri" w:eastAsia="Times New Roman" w:cs="Calibri"/>
          <w:b w:val="0"/>
          <w:bCs w:val="0"/>
          <w:color w:val="000000" w:themeColor="text1" w:themeTint="FF" w:themeShade="FF"/>
          <w:sz w:val="24"/>
          <w:szCs w:val="24"/>
          <w:highlight w:val="yellow"/>
        </w:rPr>
        <w:t>(not scored in 2022)</w:t>
      </w:r>
    </w:p>
    <w:p xmlns:wp14="http://schemas.microsoft.com/office/word/2010/wordml" w:rsidRPr="00150CC2" w:rsidR="00150CC2" w:rsidP="5054872D" w:rsidRDefault="006670D9" w14:paraId="52173B91" wp14:textId="714C3AEC">
      <w:pPr>
        <w:numPr>
          <w:ilvl w:val="0"/>
          <w:numId w:val="3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="006670D9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</w:rPr>
        <w:t>___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>The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agency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 xml:space="preserve">has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identified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a person who will serve as the agency’s HMIS partner agency security 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 xml:space="preserve">officer and has sent a document certifying that a background check was completed and the agency believes the individual to be capable of advancing the goal of 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>protecting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 xml:space="preserve"> the security and integrity of the HMIS system and safeguarding the personal information contained </w:t>
      </w:r>
      <w:proofErr w:type="spellStart"/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>therin</w:t>
      </w:r>
      <w:proofErr w:type="spellEnd"/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>.</w:t>
      </w:r>
      <w:r w:rsidRPr="00150CC2" w:rsidR="00150CC2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</w:rPr>
        <w:t xml:space="preserve"> 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(agencies have until June to complete</w:t>
      </w:r>
      <w:r w:rsidR="006670D9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, will not be evaluated in 2022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)</w:t>
      </w:r>
    </w:p>
    <w:p xmlns:wp14="http://schemas.microsoft.com/office/word/2010/wordml" w:rsidRPr="00150CC2" w:rsidR="00150CC2" w:rsidP="5054872D" w:rsidRDefault="006670D9" w14:paraId="5827E6A0" wp14:textId="77777777">
      <w:pPr>
        <w:numPr>
          <w:ilvl w:val="0"/>
          <w:numId w:val="3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>___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the HMIS partner agency confirms that all HMIS users completed an HMIS security </w:t>
      </w:r>
      <w:r w:rsidRPr="5054872D" w:rsidR="006670D9">
        <w:rPr>
          <w:rFonts w:ascii="Calibri" w:hAnsi="Calibri" w:eastAsia="Times New Roman" w:cs="Calibri"/>
          <w:color w:val="000000"/>
          <w:sz w:val="24"/>
          <w:szCs w:val="24"/>
        </w:rPr>
        <w:t>training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within the last 12 </w:t>
      </w:r>
      <w:r w:rsidRPr="5054872D" w:rsidR="00150CC2">
        <w:rPr>
          <w:rFonts w:ascii="Calibri" w:hAnsi="Calibri" w:eastAsia="Times New Roman" w:cs="Calibri"/>
          <w:color w:val="000000"/>
          <w:sz w:val="24"/>
          <w:szCs w:val="24"/>
        </w:rPr>
        <w:t>months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</w:rPr>
        <w:t xml:space="preserve"> </w:t>
      </w:r>
      <w:r w:rsidRPr="00150CC2" w:rsidR="00150CC2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(</w:t>
      </w:r>
      <w:r w:rsidR="006670D9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will be evaluated next year)</w:t>
      </w:r>
    </w:p>
    <w:p xmlns:wp14="http://schemas.microsoft.com/office/word/2010/wordml" w:rsidRPr="00150CC2" w:rsidR="00150CC2" w:rsidP="5054872D" w:rsidRDefault="006670D9" w14:paraId="071D94BA" wp14:textId="77777777" wp14:noSpellErr="1">
      <w:pPr>
        <w:numPr>
          <w:ilvl w:val="0"/>
          <w:numId w:val="3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5054872D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___The agency has,</w:t>
      </w:r>
      <w:r w:rsidRPr="5054872D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in place</w:t>
      </w:r>
      <w:r w:rsidRPr="5054872D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,</w:t>
      </w:r>
      <w:r w:rsidRPr="5054872D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 policies and procedures to protect hard copies (paper) with p</w:t>
      </w:r>
      <w:r w:rsidRPr="5054872D" w:rsidR="006670D9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ersonal identifying information.</w:t>
      </w:r>
    </w:p>
    <w:p w:rsidR="5054872D" w:rsidP="5054872D" w:rsidRDefault="5054872D" w14:paraId="029F0550" w14:textId="4F533910">
      <w:pPr>
        <w:pStyle w:val="Normal"/>
        <w:numPr>
          <w:ilvl w:val="0"/>
          <w:numId w:val="3"/>
        </w:numPr>
        <w:spacing w:beforeAutospacing="on" w:afterAutospacing="on" w:line="240" w:lineRule="auto"/>
        <w:rPr>
          <w:color w:val="000000" w:themeColor="text1" w:themeTint="FF" w:themeShade="FF"/>
          <w:sz w:val="24"/>
          <w:szCs w:val="24"/>
        </w:rPr>
      </w:pP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___Partner Agency Security Officer conducts security self-audits for any workstation used for HMIS data collection/entry no less than twice a year </w:t>
      </w: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highlight w:val="yellow"/>
        </w:rPr>
        <w:t>(possibly request most recent date, not scored in 2022</w:t>
      </w: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).</w:t>
      </w:r>
    </w:p>
    <w:p w:rsidR="5054872D" w:rsidP="5054872D" w:rsidRDefault="5054872D" w14:paraId="30495279" w14:textId="05B922C3">
      <w:pPr>
        <w:pStyle w:val="Normal"/>
        <w:numPr>
          <w:ilvl w:val="0"/>
          <w:numId w:val="3"/>
        </w:numPr>
        <w:spacing w:beforeAutospacing="on" w:afterAutospacing="on" w:line="240" w:lineRule="auto"/>
        <w:rPr>
          <w:color w:val="000000" w:themeColor="text1" w:themeTint="FF" w:themeShade="FF"/>
          <w:sz w:val="24"/>
          <w:szCs w:val="24"/>
        </w:rPr>
      </w:pP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 xml:space="preserve">___The agency does not currently have any unresolved workstation self-audit findings or security breaches </w:t>
      </w: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highlight w:val="yellow"/>
        </w:rPr>
        <w:t>(not scored in 2022)</w:t>
      </w:r>
    </w:p>
    <w:p xmlns:wp14="http://schemas.microsoft.com/office/word/2010/wordml" w:rsidRPr="00150CC2" w:rsidR="00150CC2" w:rsidP="00150CC2" w:rsidRDefault="00150CC2" w14:paraId="02EB378F" wp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</w:p>
    <w:p xmlns:wp14="http://schemas.microsoft.com/office/word/2010/wordml" w:rsidRPr="00150CC2" w:rsidR="00150CC2" w:rsidP="2AF7642A" w:rsidRDefault="00150CC2" w14:paraId="394F48A0" wp14:textId="1FBC025C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highlight w:val="yellow"/>
          <w:u w:val="single"/>
        </w:rPr>
      </w:pPr>
      <w:r w:rsidRPr="2AF7642A" w:rsidR="00150CC2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u w:val="single"/>
        </w:rPr>
        <w:t xml:space="preserve">Data Quality </w:t>
      </w:r>
    </w:p>
    <w:p xmlns:wp14="http://schemas.microsoft.com/office/word/2010/wordml" w:rsidRPr="00150CC2" w:rsidR="00150CC2" w:rsidP="5054872D" w:rsidRDefault="006670D9" w14:paraId="3FD720CC" wp14:textId="7E2E45D7">
      <w:pPr>
        <w:numPr>
          <w:ilvl w:val="0"/>
          <w:numId w:val="4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2AF7642A" w:rsidR="006670D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__</w:t>
      </w:r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 xml:space="preserve">100% of clients served are entered in </w:t>
      </w:r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HMIS</w:t>
      </w:r>
      <w:bookmarkStart w:name="_GoBack" w:id="0"/>
      <w:bookmarkEnd w:id="0"/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 xml:space="preserve"> and</w:t>
      </w:r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 xml:space="preserve"> minimum data quality standards </w:t>
      </w:r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are met &gt;=95% completeness</w:t>
      </w:r>
      <w:r w:rsidRPr="2AF7642A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.</w:t>
      </w:r>
    </w:p>
    <w:p xmlns:wp14="http://schemas.microsoft.com/office/word/2010/wordml" w:rsidRPr="006670D9" w:rsidR="006670D9" w:rsidP="5054872D" w:rsidRDefault="006670D9" w14:paraId="501A2FE3" wp14:textId="473D9EFE">
      <w:pPr>
        <w:numPr>
          <w:ilvl w:val="0"/>
          <w:numId w:val="4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5054872D" w:rsidR="006670D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__</w:t>
      </w:r>
      <w:r w:rsidRPr="5054872D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 xml:space="preserve">The agency enters Client Basic Demographic Data, enrolls clients, and enters Program Specific Data Elements into the HMIS </w:t>
      </w:r>
      <w:r w:rsidRPr="5054872D" w:rsidR="006670D9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in the timeframe expected for this project type</w:t>
      </w:r>
      <w:r w:rsidRPr="5054872D" w:rsidR="00150CC2">
        <w:rPr>
          <w:rFonts w:ascii="Calibri" w:hAnsi="Calibri" w:eastAsia="Times New Roman" w:cs="Calibri"/>
          <w:b w:val="1"/>
          <w:bCs w:val="1"/>
          <w:color w:val="000000" w:themeColor="text1" w:themeTint="FF" w:themeShade="FF"/>
          <w:sz w:val="24"/>
          <w:szCs w:val="24"/>
        </w:rPr>
        <w:t>. (CE:5 days, ES:1-3 days, SO:1-3 days, TH:1-3 days, PSH:5 days, Other:5-7 days)</w:t>
      </w:r>
    </w:p>
    <w:p xmlns:wp14="http://schemas.microsoft.com/office/word/2010/wordml" w:rsidRPr="00150CC2" w:rsidR="00150CC2" w:rsidP="5054872D" w:rsidRDefault="006670D9" w14:paraId="54E4269B" wp14:textId="77777777">
      <w:pPr>
        <w:numPr>
          <w:ilvl w:val="0"/>
          <w:numId w:val="4"/>
        </w:numPr>
        <w:spacing w:before="100" w:beforeAutospacing="on" w:after="100" w:afterAutospacing="on" w:line="240" w:lineRule="auto"/>
        <w:rPr>
          <w:rFonts w:ascii="Calibri" w:hAnsi="Calibri" w:eastAsia="Times New Roman" w:cs="Calibri"/>
          <w:color w:val="000000"/>
          <w:sz w:val="24"/>
          <w:szCs w:val="24"/>
        </w:rPr>
      </w:pPr>
      <w:r w:rsidRPr="006670D9" w:rsidR="006670D9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</w:rPr>
        <w:t>__</w:t>
      </w:r>
      <w:r w:rsidRPr="00150CC2" w:rsidR="00150CC2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</w:rPr>
        <w:t xml:space="preserve">Agency staff review reports received from HMIS Program Administrator and addresses any issues noted within 5 business days. </w:t>
      </w:r>
      <w:r w:rsidR="006670D9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</w:rPr>
        <w:t>(</w:t>
      </w:r>
      <w:r w:rsidR="006670D9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 xml:space="preserve">This </w:t>
      </w:r>
      <w:r w:rsidR="006670D9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will not be scored or evaluated this year, but note for expectations</w:t>
      </w:r>
      <w:r w:rsidR="006670D9">
        <w:rPr>
          <w:rFonts w:ascii="Calibri" w:hAnsi="Calibri" w:eastAsia="Times New Roman" w:cs="Calibri"/>
          <w:color w:val="000000"/>
          <w:sz w:val="24"/>
          <w:szCs w:val="24"/>
          <w:shd w:val="clear" w:color="auto" w:fill="FFFF00"/>
        </w:rPr>
        <w:t>.)</w:t>
      </w:r>
    </w:p>
    <w:p w:rsidR="5054872D" w:rsidP="5054872D" w:rsidRDefault="5054872D" w14:paraId="3EA51DEB" w14:textId="3F50C77B">
      <w:pPr>
        <w:pStyle w:val="Normal"/>
        <w:numPr>
          <w:ilvl w:val="0"/>
          <w:numId w:val="4"/>
        </w:numPr>
        <w:spacing w:beforeAutospacing="on" w:afterAutospacing="on" w:line="240" w:lineRule="auto"/>
        <w:rPr>
          <w:color w:val="000000" w:themeColor="text1" w:themeTint="FF" w:themeShade="FF"/>
          <w:sz w:val="24"/>
          <w:szCs w:val="24"/>
        </w:rPr>
      </w:pPr>
      <w:r w:rsidRPr="2AF7642A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___The agency conducts client file spot checks to ensure the data in a client file matches what was entered into HMIS at least once a year prior to annual performance reports.</w:t>
      </w:r>
    </w:p>
    <w:p w:rsidR="5054872D" w:rsidP="5054872D" w:rsidRDefault="5054872D" w14:paraId="521827BF" w14:textId="6169272B">
      <w:pPr>
        <w:pStyle w:val="Normal"/>
        <w:numPr>
          <w:ilvl w:val="0"/>
          <w:numId w:val="4"/>
        </w:numPr>
        <w:spacing w:beforeAutospacing="on" w:afterAutospacing="on" w:line="240" w:lineRule="auto"/>
        <w:rPr>
          <w:color w:val="000000" w:themeColor="text1" w:themeTint="FF" w:themeShade="FF"/>
          <w:sz w:val="24"/>
          <w:szCs w:val="24"/>
        </w:rPr>
      </w:pPr>
      <w:r w:rsidRPr="5054872D" w:rsidR="5054872D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</w:rPr>
        <w:t>__The agency completed the Three County CoC APR Submission Form online within 45 days of the project’s most recent grant cycle ending.</w:t>
      </w:r>
    </w:p>
    <w:p xmlns:wp14="http://schemas.microsoft.com/office/word/2010/wordml" w:rsidR="007343A9" w:rsidRDefault="007343A9" w14:paraId="6A05A809" wp14:textId="77777777"/>
    <w:sectPr w:rsidR="007343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3B5"/>
    <w:multiLevelType w:val="multilevel"/>
    <w:tmpl w:val="0636C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6046BB"/>
    <w:multiLevelType w:val="multilevel"/>
    <w:tmpl w:val="512A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47038D"/>
    <w:multiLevelType w:val="multilevel"/>
    <w:tmpl w:val="F0048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DF624D"/>
    <w:multiLevelType w:val="multilevel"/>
    <w:tmpl w:val="BC62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C2"/>
    <w:rsid w:val="00150CC2"/>
    <w:rsid w:val="006670D9"/>
    <w:rsid w:val="007343A9"/>
    <w:rsid w:val="017250DA"/>
    <w:rsid w:val="056F881D"/>
    <w:rsid w:val="06BC284D"/>
    <w:rsid w:val="06BC284D"/>
    <w:rsid w:val="06F5BCF1"/>
    <w:rsid w:val="070B587E"/>
    <w:rsid w:val="0D61AB07"/>
    <w:rsid w:val="155C4B63"/>
    <w:rsid w:val="1AA0BF70"/>
    <w:rsid w:val="21D91221"/>
    <w:rsid w:val="22582F45"/>
    <w:rsid w:val="240D2803"/>
    <w:rsid w:val="2990941A"/>
    <w:rsid w:val="2A63412A"/>
    <w:rsid w:val="2AF7642A"/>
    <w:rsid w:val="2BFF118B"/>
    <w:rsid w:val="2DA2CF72"/>
    <w:rsid w:val="33621602"/>
    <w:rsid w:val="336B644E"/>
    <w:rsid w:val="341210F6"/>
    <w:rsid w:val="344C8AA9"/>
    <w:rsid w:val="352EC433"/>
    <w:rsid w:val="386664F5"/>
    <w:rsid w:val="3B799D61"/>
    <w:rsid w:val="3DBD7B30"/>
    <w:rsid w:val="47B012FB"/>
    <w:rsid w:val="49D64079"/>
    <w:rsid w:val="4AC215E6"/>
    <w:rsid w:val="4AF2F3B6"/>
    <w:rsid w:val="4B7210DA"/>
    <w:rsid w:val="4DF9B6A8"/>
    <w:rsid w:val="5054872D"/>
    <w:rsid w:val="539184C4"/>
    <w:rsid w:val="5B8079EF"/>
    <w:rsid w:val="5C400AFA"/>
    <w:rsid w:val="63E38402"/>
    <w:rsid w:val="643B86C8"/>
    <w:rsid w:val="671229F6"/>
    <w:rsid w:val="68557CD5"/>
    <w:rsid w:val="6AD7E776"/>
    <w:rsid w:val="6FB093C6"/>
    <w:rsid w:val="71A7F3BD"/>
    <w:rsid w:val="71FA7CF2"/>
    <w:rsid w:val="72F0220E"/>
    <w:rsid w:val="7595782D"/>
    <w:rsid w:val="7A7C16CF"/>
    <w:rsid w:val="7C970454"/>
    <w:rsid w:val="7E3AB017"/>
    <w:rsid w:val="7E6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7CFA"/>
  <w15:chartTrackingRefBased/>
  <w15:docId w15:val="{02A5A4EA-7682-49D1-AB4A-E76A7FE8E1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15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0E4106B05AB4D96F170762C7FAB0E" ma:contentTypeVersion="13" ma:contentTypeDescription="Create a new document." ma:contentTypeScope="" ma:versionID="81419b8494eb94527c2d946e431c782d">
  <xsd:schema xmlns:xsd="http://www.w3.org/2001/XMLSchema" xmlns:xs="http://www.w3.org/2001/XMLSchema" xmlns:p="http://schemas.microsoft.com/office/2006/metadata/properties" xmlns:ns2="34601aee-bbde-49f2-ad42-bc13d499bb79" xmlns:ns3="2ed1e42b-3b16-4c4c-980e-db513e605f0f" targetNamespace="http://schemas.microsoft.com/office/2006/metadata/properties" ma:root="true" ma:fieldsID="fbe643ce4b9af35340185d4adc6d1f0d" ns2:_="" ns3:_="">
    <xsd:import namespace="34601aee-bbde-49f2-ad42-bc13d499bb79"/>
    <xsd:import namespace="2ed1e42b-3b16-4c4c-980e-db513e605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01aee-bbde-49f2-ad42-bc13d499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1e42b-3b16-4c4c-980e-db513e605f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413A3A-AB3A-4D99-AFA4-7E21B49A7FFC}"/>
</file>

<file path=customXml/itemProps2.xml><?xml version="1.0" encoding="utf-8"?>
<ds:datastoreItem xmlns:ds="http://schemas.openxmlformats.org/officeDocument/2006/customXml" ds:itemID="{8D2C8A86-6841-47D6-9B50-A1CBB4BCCAD5}"/>
</file>

<file path=customXml/itemProps3.xml><?xml version="1.0" encoding="utf-8"?>
<ds:datastoreItem xmlns:ds="http://schemas.openxmlformats.org/officeDocument/2006/customXml" ds:itemID="{4C0B909E-F90D-46F8-A60A-E6D13230196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Keleigh Pereira</dc:creator>
  <keywords/>
  <dc:description/>
  <lastModifiedBy>Keleigh Pereira</lastModifiedBy>
  <revision>3</revision>
  <dcterms:created xsi:type="dcterms:W3CDTF">2022-03-17T17:42:00.0000000Z</dcterms:created>
  <dcterms:modified xsi:type="dcterms:W3CDTF">2022-03-25T16:05:29.3883753Z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0x010100DEC0E4106B05AB4D96F170762C7FAB0E</vt:lpwstr>
  </property>
</Properties>
</file>