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8D57FC" w:rsidRPr="00AC0085" w:rsidRDefault="006B69FE">
      <w:pPr>
        <w:pStyle w:val="P68B1DB1-Normal1"/>
        <w:spacing w:after="542" w:line="259" w:lineRule="auto"/>
        <w:ind w:left="346" w:firstLine="0"/>
        <w:jc w:val="left"/>
        <w:rPr>
          <w:lang w:val="es-VE"/>
        </w:rPr>
      </w:pPr>
      <w:r w:rsidRPr="00AC0085">
        <w:rPr>
          <w:lang w:val="es-VE"/>
        </w:rPr>
        <w:t xml:space="preserve"> </w:t>
      </w:r>
    </w:p>
    <w:p w14:paraId="4E7001FB" w14:textId="77777777" w:rsidR="008D57FC" w:rsidRPr="00AC0085" w:rsidRDefault="006B69FE">
      <w:pPr>
        <w:spacing w:after="268" w:line="259" w:lineRule="auto"/>
        <w:ind w:left="347" w:firstLine="0"/>
        <w:jc w:val="center"/>
        <w:rPr>
          <w:lang w:val="es-VE"/>
        </w:rPr>
      </w:pPr>
      <w:r w:rsidRPr="00AC0085">
        <w:rPr>
          <w:noProof/>
          <w:lang w:val="es-VE"/>
        </w:rPr>
        <w:drawing>
          <wp:anchor distT="0" distB="0" distL="114300" distR="114300" simplePos="0" relativeHeight="251658240" behindDoc="0" locked="0" layoutInCell="1" allowOverlap="0" wp14:anchorId="7E7F7AC6" wp14:editId="07777777">
            <wp:simplePos x="0" y="0"/>
            <wp:positionH relativeFrom="column">
              <wp:posOffset>220345</wp:posOffset>
            </wp:positionH>
            <wp:positionV relativeFrom="paragraph">
              <wp:posOffset>-32257</wp:posOffset>
            </wp:positionV>
            <wp:extent cx="3124200" cy="1847851"/>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0"/>
                    <a:stretch>
                      <a:fillRect/>
                    </a:stretch>
                  </pic:blipFill>
                  <pic:spPr>
                    <a:xfrm>
                      <a:off x="0" y="0"/>
                      <a:ext cx="3124200" cy="1847851"/>
                    </a:xfrm>
                    <a:prstGeom prst="rect">
                      <a:avLst/>
                    </a:prstGeom>
                  </pic:spPr>
                </pic:pic>
              </a:graphicData>
            </a:graphic>
          </wp:anchor>
        </w:drawing>
      </w:r>
      <w:r w:rsidRPr="00AC0085">
        <w:rPr>
          <w:sz w:val="22"/>
          <w:lang w:val="es-VE"/>
        </w:rPr>
        <w:t xml:space="preserve"> </w:t>
      </w:r>
    </w:p>
    <w:p w14:paraId="7263B4FC" w14:textId="77777777" w:rsidR="008D57FC" w:rsidRPr="00AC0085" w:rsidRDefault="006B69FE">
      <w:pPr>
        <w:spacing w:after="74" w:line="259" w:lineRule="auto"/>
        <w:ind w:left="357" w:right="659"/>
        <w:jc w:val="right"/>
        <w:rPr>
          <w:lang w:val="es-VE"/>
        </w:rPr>
      </w:pPr>
      <w:r w:rsidRPr="00AC0085">
        <w:rPr>
          <w:i/>
          <w:sz w:val="31"/>
          <w:lang w:val="es-VE"/>
        </w:rPr>
        <w:t xml:space="preserve"> </w:t>
      </w:r>
      <w:r w:rsidRPr="00AC0085">
        <w:rPr>
          <w:b/>
          <w:color w:val="191919"/>
          <w:sz w:val="56"/>
          <w:lang w:val="es-VE"/>
        </w:rPr>
        <w:t xml:space="preserve">THREE COUNTY </w:t>
      </w:r>
    </w:p>
    <w:p w14:paraId="0B359899" w14:textId="77777777" w:rsidR="008D57FC" w:rsidRPr="00AC0085" w:rsidRDefault="006B69FE">
      <w:pPr>
        <w:pStyle w:val="P68B1DB1-Normal2"/>
        <w:spacing w:after="31" w:line="259" w:lineRule="auto"/>
        <w:ind w:left="357" w:right="555"/>
        <w:jc w:val="right"/>
        <w:rPr>
          <w:lang w:val="es-VE"/>
        </w:rPr>
      </w:pPr>
      <w:r w:rsidRPr="00AC0085">
        <w:rPr>
          <w:lang w:val="es-VE"/>
        </w:rPr>
        <w:t xml:space="preserve">CONTINUUM OF </w:t>
      </w:r>
    </w:p>
    <w:p w14:paraId="41B56688" w14:textId="77777777" w:rsidR="008D57FC" w:rsidRPr="00AC0085" w:rsidRDefault="006B69FE">
      <w:pPr>
        <w:spacing w:after="0" w:line="259" w:lineRule="auto"/>
        <w:ind w:left="347" w:firstLine="0"/>
        <w:jc w:val="left"/>
        <w:rPr>
          <w:lang w:val="es-VE"/>
        </w:rPr>
      </w:pPr>
      <w:r w:rsidRPr="00AC0085">
        <w:rPr>
          <w:b/>
          <w:color w:val="191919"/>
          <w:sz w:val="56"/>
          <w:lang w:val="es-VE"/>
        </w:rPr>
        <w:t>CARE</w:t>
      </w:r>
      <w:r w:rsidRPr="00AC0085">
        <w:rPr>
          <w:sz w:val="22"/>
          <w:lang w:val="es-VE"/>
        </w:rPr>
        <w:t xml:space="preserve"> </w:t>
      </w:r>
    </w:p>
    <w:p w14:paraId="0DFAE634" w14:textId="77777777" w:rsidR="008D57FC" w:rsidRPr="00AC0085" w:rsidRDefault="006B69FE">
      <w:pPr>
        <w:spacing w:after="2450" w:line="259" w:lineRule="auto"/>
        <w:ind w:left="347" w:right="534" w:firstLine="0"/>
        <w:jc w:val="right"/>
        <w:rPr>
          <w:lang w:val="es-VE"/>
        </w:rPr>
      </w:pPr>
      <w:r w:rsidRPr="00AC0085">
        <w:rPr>
          <w:b/>
          <w:color w:val="191919"/>
          <w:sz w:val="56"/>
          <w:lang w:val="es-VE"/>
        </w:rPr>
        <w:t xml:space="preserve"> </w:t>
      </w:r>
      <w:r w:rsidRPr="00AC0085">
        <w:rPr>
          <w:sz w:val="22"/>
          <w:lang w:val="es-VE"/>
        </w:rPr>
        <w:t xml:space="preserve"> </w:t>
      </w:r>
    </w:p>
    <w:p w14:paraId="47E1113C" w14:textId="70947AC8" w:rsidR="008D57FC" w:rsidRPr="00AC0085" w:rsidRDefault="007930D9">
      <w:pPr>
        <w:pStyle w:val="P68B1DB1-Normal3"/>
        <w:spacing w:after="19" w:line="259" w:lineRule="auto"/>
        <w:ind w:left="0" w:right="371" w:firstLine="0"/>
        <w:jc w:val="center"/>
        <w:rPr>
          <w:lang w:val="es-VE"/>
        </w:rPr>
      </w:pPr>
      <w:r w:rsidRPr="00AC0085">
        <w:rPr>
          <w:lang w:val="es-VE"/>
        </w:rPr>
        <w:t xml:space="preserve">Acta Constitutiva de Gobernanza para el Sistema de Información de Gestión de Personas Sin Hogar </w:t>
      </w:r>
    </w:p>
    <w:p w14:paraId="719C1E49" w14:textId="7C822C1C" w:rsidR="008D57FC" w:rsidRPr="00AC0085" w:rsidRDefault="007930D9">
      <w:pPr>
        <w:spacing w:after="0" w:line="266" w:lineRule="auto"/>
        <w:ind w:left="2018" w:hanging="758"/>
        <w:jc w:val="left"/>
        <w:rPr>
          <w:lang w:val="es-VE"/>
        </w:rPr>
      </w:pPr>
      <w:r w:rsidRPr="00AC0085">
        <w:rPr>
          <w:sz w:val="56"/>
          <w:lang w:val="es-VE"/>
        </w:rPr>
        <w:t>(HMIS, por sus siglas en inglés)</w:t>
      </w:r>
      <w:r w:rsidRPr="00AC0085">
        <w:rPr>
          <w:lang w:val="es-VE"/>
        </w:rPr>
        <w:t xml:space="preserve"> </w:t>
      </w:r>
    </w:p>
    <w:p w14:paraId="0A6959E7" w14:textId="3A754C2C" w:rsidR="008D57FC" w:rsidRPr="00AC0085" w:rsidRDefault="006B69FE">
      <w:pPr>
        <w:pStyle w:val="P68B1DB1-Normal4"/>
        <w:spacing w:after="1334" w:line="259" w:lineRule="auto"/>
        <w:ind w:left="363" w:firstLine="0"/>
        <w:jc w:val="left"/>
        <w:rPr>
          <w:lang w:val="es-VE"/>
        </w:rPr>
      </w:pPr>
      <w:r w:rsidRPr="00AC0085">
        <w:rPr>
          <w:lang w:val="es-VE"/>
        </w:rPr>
        <w:t xml:space="preserve"> </w:t>
      </w:r>
    </w:p>
    <w:p w14:paraId="6A4535B7" w14:textId="77777777" w:rsidR="008D57FC" w:rsidRPr="00AC0085" w:rsidRDefault="006B69FE">
      <w:pPr>
        <w:pStyle w:val="P68B1DB1-Normal5"/>
        <w:spacing w:after="0" w:line="259" w:lineRule="auto"/>
        <w:ind w:left="363"/>
        <w:jc w:val="center"/>
        <w:rPr>
          <w:lang w:val="es-VE"/>
        </w:rPr>
      </w:pPr>
      <w:r w:rsidRPr="00AC0085">
        <w:rPr>
          <w:lang w:val="es-VE"/>
        </w:rPr>
        <w:t>Membresía aprobada, 23 de septiembre de 2021</w:t>
      </w:r>
    </w:p>
    <w:p w14:paraId="40F7FBC4" w14:textId="44E5F26E" w:rsidR="008D57FC" w:rsidRPr="00AC0085" w:rsidRDefault="006B69FE">
      <w:pPr>
        <w:spacing w:after="1334" w:line="259" w:lineRule="auto"/>
        <w:ind w:left="363" w:firstLine="0"/>
        <w:jc w:val="left"/>
        <w:rPr>
          <w:lang w:val="es-VE"/>
        </w:rPr>
      </w:pPr>
      <w:r w:rsidRPr="00AC0085">
        <w:rPr>
          <w:noProof/>
          <w:lang w:val="es-VE"/>
        </w:rPr>
        <w:drawing>
          <wp:anchor distT="0" distB="0" distL="114300" distR="114300" simplePos="0" relativeHeight="251659264" behindDoc="1" locked="0" layoutInCell="1" allowOverlap="1" wp14:anchorId="3C59EC65" wp14:editId="79BCF9B5">
            <wp:simplePos x="0" y="0"/>
            <wp:positionH relativeFrom="column">
              <wp:posOffset>2215662</wp:posOffset>
            </wp:positionH>
            <wp:positionV relativeFrom="paragraph">
              <wp:posOffset>301479</wp:posOffset>
            </wp:positionV>
            <wp:extent cx="2162175" cy="891540"/>
            <wp:effectExtent l="0" t="0" r="9525" b="3810"/>
            <wp:wrapTight wrapText="bothSides">
              <wp:wrapPolygon edited="0">
                <wp:start x="0" y="0"/>
                <wp:lineTo x="0" y="21231"/>
                <wp:lineTo x="21505" y="21231"/>
                <wp:lineTo x="21505" y="0"/>
                <wp:lineTo x="0" y="0"/>
              </wp:wrapPolygon>
            </wp:wrapTight>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1">
                      <a:extLst>
                        <a:ext uri="{28A0092B-C50C-407E-A947-70E740481C1C}">
                          <a14:useLocalDpi xmlns:a14="http://schemas.microsoft.com/office/drawing/2010/main" val="0"/>
                        </a:ext>
                      </a:extLst>
                    </a:blip>
                    <a:stretch>
                      <a:fillRect/>
                    </a:stretch>
                  </pic:blipFill>
                  <pic:spPr>
                    <a:xfrm>
                      <a:off x="0" y="0"/>
                      <a:ext cx="2162175" cy="891540"/>
                    </a:xfrm>
                    <a:prstGeom prst="rect">
                      <a:avLst/>
                    </a:prstGeom>
                  </pic:spPr>
                </pic:pic>
              </a:graphicData>
            </a:graphic>
          </wp:anchor>
        </w:drawing>
      </w:r>
    </w:p>
    <w:p w14:paraId="672A6659" w14:textId="79262485" w:rsidR="008D57FC" w:rsidRPr="00AC0085" w:rsidRDefault="008D57FC">
      <w:pPr>
        <w:spacing w:after="55" w:line="259" w:lineRule="auto"/>
        <w:ind w:left="3409" w:firstLine="0"/>
        <w:jc w:val="left"/>
        <w:rPr>
          <w:lang w:val="es-VE"/>
        </w:rPr>
      </w:pPr>
    </w:p>
    <w:p w14:paraId="4065BE28" w14:textId="592458BE" w:rsidR="008D57FC" w:rsidRPr="00AC0085" w:rsidRDefault="006B69FE" w:rsidP="002408CF">
      <w:pPr>
        <w:pStyle w:val="Heading1"/>
        <w:spacing w:after="163"/>
        <w:ind w:left="284" w:firstLine="0"/>
        <w:rPr>
          <w:lang w:val="es-VE"/>
        </w:rPr>
      </w:pPr>
      <w:r w:rsidRPr="00AC0085">
        <w:rPr>
          <w:lang w:val="es-VE"/>
        </w:rPr>
        <w:br w:type="page"/>
      </w:r>
      <w:r w:rsidR="002408CF" w:rsidRPr="002408CF">
        <w:rPr>
          <w:lang w:val="es-VE"/>
        </w:rPr>
        <w:lastRenderedPageBreak/>
        <w:t>Propósito</w:t>
      </w:r>
    </w:p>
    <w:p w14:paraId="233CDD8E" w14:textId="77777777" w:rsidR="008D57FC" w:rsidRPr="00AC0085" w:rsidRDefault="006B69FE">
      <w:pPr>
        <w:shd w:val="clear" w:color="auto" w:fill="D9D9D9"/>
        <w:spacing w:after="244" w:line="236" w:lineRule="auto"/>
        <w:ind w:left="454" w:right="144" w:hanging="20"/>
        <w:rPr>
          <w:lang w:val="es-VE"/>
        </w:rPr>
      </w:pPr>
      <w:r w:rsidRPr="00AC0085">
        <w:rPr>
          <w:lang w:val="es-VE"/>
        </w:rPr>
        <w:t>T</w:t>
      </w:r>
      <w:r w:rsidRPr="00AC0085">
        <w:rPr>
          <w:lang w:val="es-VE"/>
        </w:rPr>
        <w:t xml:space="preserve">hree County Continuum of Care (CoC) opera un Sistema de Información de Gestión de Personas sin Hogar (HMIS, por sus siglas en inglés) para registrar y almacenar información a nivel del cliente sobre el número, las características y las necesidades de las </w:t>
      </w:r>
      <w:r w:rsidRPr="00AC0085">
        <w:rPr>
          <w:lang w:val="es-VE"/>
        </w:rPr>
        <w:t xml:space="preserve">personas que reciben servicios de prevención, vivienda y apoyo para la falta de hogar de organizaciones dentro de CoC, según lo exige el Departamento de Vivienda y Desarrollo Urbano (HUD, por sus siglas en inglés) de EE.UU. </w:t>
      </w:r>
    </w:p>
    <w:p w14:paraId="762EA4B0" w14:textId="77777777" w:rsidR="008D57FC" w:rsidRPr="00AC0085" w:rsidRDefault="006B69FE">
      <w:pPr>
        <w:shd w:val="clear" w:color="auto" w:fill="D9D9D9"/>
        <w:spacing w:after="613" w:line="236" w:lineRule="auto"/>
        <w:ind w:left="454" w:right="144" w:hanging="20"/>
        <w:rPr>
          <w:lang w:val="es-VE"/>
        </w:rPr>
      </w:pPr>
      <w:r w:rsidRPr="00AC0085">
        <w:rPr>
          <w:lang w:val="es-VE"/>
        </w:rPr>
        <w:t>El HMIS brinda oportunidades pa</w:t>
      </w:r>
      <w:r w:rsidRPr="00AC0085">
        <w:rPr>
          <w:lang w:val="es-VE"/>
        </w:rPr>
        <w:t>ra mejorar el acceso y la prestación de servicios para personas sin hogar, y para fortalecer la planificación comunitaria y la asignación de recursos. También se utiliza para recopilar y agregar datos sobre la falta de vivienda a nivel local para describir</w:t>
      </w:r>
      <w:r w:rsidRPr="00AC0085">
        <w:rPr>
          <w:lang w:val="es-VE"/>
        </w:rPr>
        <w:t xml:space="preserve"> con precisión el alcance y la eficacia de nuestros esfuerzos para acabar con la falta de vivienda.</w:t>
      </w:r>
    </w:p>
    <w:p w14:paraId="7AF688FD" w14:textId="77777777" w:rsidR="008D57FC" w:rsidRPr="00AC0085" w:rsidRDefault="006B69FE">
      <w:pPr>
        <w:spacing w:after="83"/>
        <w:ind w:left="358" w:right="149"/>
        <w:rPr>
          <w:lang w:val="es-VE"/>
        </w:rPr>
      </w:pPr>
      <w:r w:rsidRPr="00AC0085">
        <w:rPr>
          <w:lang w:val="es-VE"/>
        </w:rPr>
        <w:t xml:space="preserve">Three County CoC sigue un “Modelo de Gobernanza de la Agencia Líder de CoC” con el apoyo del Comité de Evaluación de Datos. </w:t>
      </w:r>
    </w:p>
    <w:p w14:paraId="100C5B58" w14:textId="77777777" w:rsidR="008D57FC" w:rsidRPr="00AC0085" w:rsidRDefault="006B69FE">
      <w:pPr>
        <w:pStyle w:val="P68B1DB1-Normal6"/>
        <w:spacing w:after="35" w:line="259" w:lineRule="auto"/>
        <w:ind w:left="348" w:firstLine="0"/>
        <w:jc w:val="left"/>
        <w:rPr>
          <w:lang w:val="es-VE"/>
        </w:rPr>
      </w:pPr>
      <w:r w:rsidRPr="00AC0085">
        <w:rPr>
          <w:lang w:val="es-VE"/>
        </w:rPr>
        <w:t xml:space="preserve"> </w:t>
      </w:r>
    </w:p>
    <w:p w14:paraId="5A11172E" w14:textId="77777777" w:rsidR="008D57FC" w:rsidRPr="00AC0085" w:rsidRDefault="006B69FE">
      <w:pPr>
        <w:pStyle w:val="Heading1"/>
        <w:ind w:left="343"/>
        <w:rPr>
          <w:lang w:val="es-VE"/>
        </w:rPr>
      </w:pPr>
      <w:r w:rsidRPr="00AC0085">
        <w:rPr>
          <w:lang w:val="es-VE"/>
        </w:rPr>
        <w:t>Responsabilidades de CoC</w:t>
      </w:r>
      <w:r w:rsidRPr="00AC0085">
        <w:rPr>
          <w:b w:val="0"/>
          <w:lang w:val="es-VE"/>
        </w:rPr>
        <w:t xml:space="preserve"> </w:t>
      </w:r>
      <w:r w:rsidRPr="00AC0085">
        <w:rPr>
          <w:color w:val="232852"/>
          <w:lang w:val="es-VE"/>
        </w:rPr>
        <w:t xml:space="preserve"> </w:t>
      </w:r>
    </w:p>
    <w:p w14:paraId="0D5E7A9D" w14:textId="77777777" w:rsidR="008D57FC" w:rsidRPr="00AC0085" w:rsidRDefault="006B69FE">
      <w:pPr>
        <w:numPr>
          <w:ilvl w:val="0"/>
          <w:numId w:val="1"/>
        </w:numPr>
        <w:ind w:right="149" w:hanging="360"/>
        <w:rPr>
          <w:lang w:val="es-VE"/>
        </w:rPr>
      </w:pPr>
      <w:r w:rsidRPr="00AC0085">
        <w:rPr>
          <w:lang w:val="es-VE"/>
        </w:rPr>
        <w:t xml:space="preserve">Designar un solo sistema de información como el software del HMIS oficial para el área geográfica. </w:t>
      </w:r>
    </w:p>
    <w:p w14:paraId="60B6F656" w14:textId="77777777" w:rsidR="008D57FC" w:rsidRPr="00AC0085" w:rsidRDefault="006B69FE">
      <w:pPr>
        <w:numPr>
          <w:ilvl w:val="0"/>
          <w:numId w:val="1"/>
        </w:numPr>
        <w:ind w:right="149" w:hanging="360"/>
        <w:rPr>
          <w:lang w:val="es-VE"/>
        </w:rPr>
      </w:pPr>
      <w:r w:rsidRPr="00AC0085">
        <w:rPr>
          <w:lang w:val="es-VE"/>
        </w:rPr>
        <w:t xml:space="preserve">Designar un líder del HMIS. </w:t>
      </w:r>
    </w:p>
    <w:p w14:paraId="5652407A" w14:textId="77777777" w:rsidR="008D57FC" w:rsidRPr="00AC0085" w:rsidRDefault="006B69FE">
      <w:pPr>
        <w:numPr>
          <w:ilvl w:val="0"/>
          <w:numId w:val="1"/>
        </w:numPr>
        <w:ind w:right="149" w:hanging="360"/>
        <w:rPr>
          <w:lang w:val="es-VE"/>
        </w:rPr>
      </w:pPr>
      <w:r w:rsidRPr="00AC0085">
        <w:rPr>
          <w:lang w:val="es-VE"/>
        </w:rPr>
        <w:t>Proporcionar la gobernanza del líder del HMIS, incluido el requisito de que el líder del HMIS celebre Acuerdos de Participación</w:t>
      </w:r>
      <w:r w:rsidRPr="00AC0085">
        <w:rPr>
          <w:lang w:val="es-VE"/>
        </w:rPr>
        <w:t xml:space="preserve"> del HMIS por escrito con cada organización contribuyente del HMIS y exija que la organización cumpla con las regulaciones federales y estatales con respecto al HMIS. </w:t>
      </w:r>
    </w:p>
    <w:p w14:paraId="28E93FEB" w14:textId="272F1AE0" w:rsidR="008D57FC" w:rsidRPr="00AC0085" w:rsidRDefault="006B69FE">
      <w:pPr>
        <w:numPr>
          <w:ilvl w:val="0"/>
          <w:numId w:val="1"/>
        </w:numPr>
        <w:ind w:right="149" w:hanging="360"/>
        <w:rPr>
          <w:lang w:val="es-VE"/>
        </w:rPr>
      </w:pPr>
      <w:r w:rsidRPr="00AC0085">
        <w:rPr>
          <w:lang w:val="es-VE"/>
        </w:rPr>
        <w:t>Actuar como y cumplir con todas las responsabilidades del líder del HMIS como se describ</w:t>
      </w:r>
      <w:r w:rsidRPr="00AC0085">
        <w:rPr>
          <w:lang w:val="es-VE"/>
        </w:rPr>
        <w:t>e en este documento</w:t>
      </w:r>
      <w:r w:rsidR="00C15F18">
        <w:rPr>
          <w:lang w:val="es-VE"/>
        </w:rPr>
        <w:t>.</w:t>
      </w:r>
    </w:p>
    <w:p w14:paraId="4AD35648" w14:textId="77777777" w:rsidR="008D57FC" w:rsidRPr="00AC0085" w:rsidRDefault="006B69FE">
      <w:pPr>
        <w:numPr>
          <w:ilvl w:val="0"/>
          <w:numId w:val="1"/>
        </w:numPr>
        <w:spacing w:after="285"/>
        <w:ind w:right="149" w:hanging="360"/>
        <w:rPr>
          <w:lang w:val="es-VE"/>
        </w:rPr>
      </w:pPr>
      <w:r w:rsidRPr="00AC0085">
        <w:rPr>
          <w:lang w:val="es-VE"/>
        </w:rPr>
        <w:t xml:space="preserve">Revisar y aprobar las políticas y los planes requeridos por las reglamentaciones federales, como los descritos en la Regla Propuesta del HMIS. </w:t>
      </w:r>
    </w:p>
    <w:p w14:paraId="12F40E89" w14:textId="77777777" w:rsidR="008D57FC" w:rsidRPr="00AC0085" w:rsidRDefault="006B69FE">
      <w:pPr>
        <w:spacing w:after="96" w:line="259" w:lineRule="auto"/>
        <w:ind w:left="363" w:firstLine="0"/>
        <w:jc w:val="left"/>
        <w:rPr>
          <w:lang w:val="es-VE"/>
        </w:rPr>
      </w:pPr>
      <w:r w:rsidRPr="00AC0085">
        <w:rPr>
          <w:lang w:val="es-VE"/>
        </w:rPr>
        <w:t xml:space="preserve"> </w:t>
      </w:r>
    </w:p>
    <w:p w14:paraId="4031072D" w14:textId="77777777" w:rsidR="008D57FC" w:rsidRPr="00AC0085" w:rsidRDefault="006B69FE">
      <w:pPr>
        <w:pStyle w:val="Heading1"/>
        <w:ind w:left="343"/>
        <w:rPr>
          <w:lang w:val="es-VE"/>
        </w:rPr>
      </w:pPr>
      <w:r w:rsidRPr="00AC0085">
        <w:rPr>
          <w:lang w:val="es-VE"/>
        </w:rPr>
        <w:t>Designación del HMIS</w:t>
      </w:r>
      <w:r w:rsidRPr="00AC0085">
        <w:rPr>
          <w:b w:val="0"/>
          <w:lang w:val="es-VE"/>
        </w:rPr>
        <w:t xml:space="preserve"> </w:t>
      </w:r>
      <w:r w:rsidRPr="00AC0085">
        <w:rPr>
          <w:color w:val="232852"/>
          <w:lang w:val="es-VE"/>
        </w:rPr>
        <w:t xml:space="preserve"> </w:t>
      </w:r>
    </w:p>
    <w:p w14:paraId="2D9D0A18" w14:textId="2C06B840" w:rsidR="008D57FC" w:rsidRPr="00AC0085" w:rsidRDefault="006B69FE">
      <w:pPr>
        <w:spacing w:after="346"/>
        <w:ind w:left="358" w:right="149"/>
        <w:rPr>
          <w:lang w:val="es-VE"/>
        </w:rPr>
      </w:pPr>
      <w:r w:rsidRPr="00AC0085">
        <w:rPr>
          <w:lang w:val="es-VE"/>
        </w:rPr>
        <w:t xml:space="preserve">Community Action Pioneer Valley, como Solicitante Colaborador, ha </w:t>
      </w:r>
      <w:r w:rsidRPr="00AC0085">
        <w:rPr>
          <w:lang w:val="es-VE"/>
        </w:rPr>
        <w:t xml:space="preserve">contratado a Bitfocus, Inc. para crear una implementación de Clarity Human Services. CoC designa </w:t>
      </w:r>
      <w:r w:rsidRPr="00C15F18">
        <w:rPr>
          <w:bCs/>
          <w:color w:val="auto"/>
          <w:lang w:val="es-VE"/>
        </w:rPr>
        <w:t>al</w:t>
      </w:r>
      <w:r w:rsidRPr="00C15F18">
        <w:rPr>
          <w:b/>
          <w:color w:val="auto"/>
          <w:lang w:val="es-VE"/>
        </w:rPr>
        <w:t xml:space="preserve"> </w:t>
      </w:r>
      <w:r w:rsidRPr="00AC0085">
        <w:rPr>
          <w:b/>
          <w:color w:val="0D2B3E"/>
          <w:lang w:val="es-VE"/>
        </w:rPr>
        <w:t xml:space="preserve">HMIS Clarity de CAPV, una implementación de </w:t>
      </w:r>
      <w:hyperlink r:id="rId12" w:history="1">
        <w:r w:rsidRPr="00AC0085">
          <w:rPr>
            <w:rStyle w:val="Hyperlink"/>
            <w:b/>
            <w:lang w:val="es-VE"/>
          </w:rPr>
          <w:t>Clarity Human Services proporcionada por Bitfocus, Inc.,</w:t>
        </w:r>
      </w:hyperlink>
      <w:r w:rsidRPr="00AC0085">
        <w:rPr>
          <w:color w:val="0D2B3E"/>
          <w:lang w:val="es-VE"/>
        </w:rPr>
        <w:t xml:space="preserve"> </w:t>
      </w:r>
      <w:r w:rsidRPr="00AC0085">
        <w:rPr>
          <w:lang w:val="es-VE"/>
        </w:rPr>
        <w:t xml:space="preserve">como el HMIS para Three County CoC. </w:t>
      </w:r>
    </w:p>
    <w:p w14:paraId="60D3F87B" w14:textId="7D79D6CD" w:rsidR="008D57FC" w:rsidRPr="00AC0085" w:rsidRDefault="006B69FE">
      <w:pPr>
        <w:spacing w:after="777"/>
        <w:ind w:left="358" w:right="149"/>
        <w:rPr>
          <w:lang w:val="es-VE"/>
        </w:rPr>
      </w:pPr>
      <w:r w:rsidRPr="00AC0085">
        <w:rPr>
          <w:lang w:val="es-VE"/>
        </w:rPr>
        <w:t>Clarity Human Services incluye plantillas estándar de ingreso de datos en el HMIS, datos demográficos estándar del HUD y datos demográficos adicionales opcionales, la capacidad de personalizar las pantallas de recopilac</w:t>
      </w:r>
      <w:r w:rsidRPr="00AC0085">
        <w:rPr>
          <w:lang w:val="es-VE"/>
        </w:rPr>
        <w:t xml:space="preserve">ión de datos, una Lista por Nombres integrada llamada </w:t>
      </w:r>
      <w:r w:rsidRPr="00AC0085">
        <w:rPr>
          <w:lang w:val="es-VE"/>
        </w:rPr>
        <w:lastRenderedPageBreak/>
        <w:t xml:space="preserve">Community Queue con múltiples priorizaciones personalizables y un seguimiento de resultados personalizado, así como acceso a Looker, un producto dedicado a informes y análisis personalizados. </w:t>
      </w:r>
    </w:p>
    <w:p w14:paraId="608DEACE" w14:textId="77777777" w:rsidR="008D57FC" w:rsidRPr="00AC0085" w:rsidRDefault="006B69FE">
      <w:pPr>
        <w:pStyle w:val="P68B1DB1-Normal6"/>
        <w:spacing w:after="0" w:line="259" w:lineRule="auto"/>
        <w:ind w:left="346" w:firstLine="0"/>
        <w:jc w:val="left"/>
        <w:rPr>
          <w:lang w:val="es-VE"/>
        </w:rPr>
      </w:pPr>
      <w:r w:rsidRPr="00AC0085">
        <w:rPr>
          <w:lang w:val="es-VE"/>
        </w:rPr>
        <w:t xml:space="preserve"> </w:t>
      </w:r>
    </w:p>
    <w:p w14:paraId="6445C287" w14:textId="77777777" w:rsidR="008D57FC" w:rsidRPr="00AC0085" w:rsidRDefault="006B69FE">
      <w:pPr>
        <w:pStyle w:val="Heading1"/>
        <w:ind w:left="343"/>
        <w:rPr>
          <w:lang w:val="es-VE"/>
        </w:rPr>
      </w:pPr>
      <w:r w:rsidRPr="00AC0085">
        <w:rPr>
          <w:lang w:val="es-VE"/>
        </w:rPr>
        <w:t>Responsabilidades y deberes del líder del HMIS</w:t>
      </w:r>
      <w:r w:rsidRPr="00AC0085">
        <w:rPr>
          <w:b w:val="0"/>
          <w:color w:val="000000"/>
          <w:sz w:val="22"/>
          <w:lang w:val="es-VE"/>
        </w:rPr>
        <w:t xml:space="preserve"> </w:t>
      </w:r>
    </w:p>
    <w:p w14:paraId="382922B7" w14:textId="77777777" w:rsidR="008D57FC" w:rsidRPr="00AC0085" w:rsidRDefault="006B69FE">
      <w:pPr>
        <w:ind w:left="358" w:right="149"/>
        <w:rPr>
          <w:lang w:val="es-VE"/>
        </w:rPr>
      </w:pPr>
      <w:r w:rsidRPr="00AC0085">
        <w:rPr>
          <w:lang w:val="es-VE"/>
        </w:rPr>
        <w:t xml:space="preserve">Three County CoC designa a Community Action Pioneer Valley como líder del HMIS para operar el HMIS de Three County CoC. </w:t>
      </w:r>
    </w:p>
    <w:p w14:paraId="2BAC6FC9" w14:textId="77777777" w:rsidR="008D57FC" w:rsidRPr="00AC0085" w:rsidRDefault="006B69FE">
      <w:pPr>
        <w:spacing w:after="29" w:line="259" w:lineRule="auto"/>
        <w:ind w:left="363" w:firstLine="0"/>
        <w:jc w:val="left"/>
        <w:rPr>
          <w:lang w:val="es-VE"/>
        </w:rPr>
      </w:pPr>
      <w:r w:rsidRPr="00AC0085">
        <w:rPr>
          <w:lang w:val="es-VE"/>
        </w:rPr>
        <w:t xml:space="preserve"> </w:t>
      </w:r>
    </w:p>
    <w:p w14:paraId="71314A4A" w14:textId="77777777" w:rsidR="008D57FC" w:rsidRPr="00AC0085" w:rsidRDefault="006B69FE">
      <w:pPr>
        <w:ind w:left="358" w:right="149"/>
        <w:rPr>
          <w:lang w:val="es-VE"/>
        </w:rPr>
      </w:pPr>
      <w:r w:rsidRPr="00AC0085">
        <w:rPr>
          <w:lang w:val="es-VE"/>
        </w:rPr>
        <w:t xml:space="preserve">Responsabilidades y deberes del líder del HMIS: </w:t>
      </w:r>
    </w:p>
    <w:p w14:paraId="156A6281" w14:textId="77777777" w:rsidR="008D57FC" w:rsidRPr="00AC0085" w:rsidRDefault="006B69FE">
      <w:pPr>
        <w:spacing w:after="81" w:line="259" w:lineRule="auto"/>
        <w:ind w:left="363" w:firstLine="0"/>
        <w:jc w:val="left"/>
        <w:rPr>
          <w:lang w:val="es-VE"/>
        </w:rPr>
      </w:pPr>
      <w:r w:rsidRPr="00AC0085">
        <w:rPr>
          <w:lang w:val="es-VE"/>
        </w:rPr>
        <w:t xml:space="preserve"> </w:t>
      </w:r>
    </w:p>
    <w:p w14:paraId="603E729F" w14:textId="77777777" w:rsidR="008D57FC" w:rsidRPr="00AC0085" w:rsidRDefault="006B69FE">
      <w:pPr>
        <w:numPr>
          <w:ilvl w:val="0"/>
          <w:numId w:val="2"/>
        </w:numPr>
        <w:ind w:right="149" w:hanging="360"/>
        <w:rPr>
          <w:lang w:val="es-VE"/>
        </w:rPr>
      </w:pPr>
      <w:r w:rsidRPr="00AC0085">
        <w:rPr>
          <w:lang w:val="es-VE"/>
        </w:rPr>
        <w:t xml:space="preserve">Servir como administrador del sistema HMIS; </w:t>
      </w:r>
    </w:p>
    <w:p w14:paraId="2C70AB4B" w14:textId="77777777" w:rsidR="008D57FC" w:rsidRPr="00AC0085" w:rsidRDefault="006B69FE">
      <w:pPr>
        <w:numPr>
          <w:ilvl w:val="0"/>
          <w:numId w:val="2"/>
        </w:numPr>
        <w:spacing w:after="48"/>
        <w:ind w:right="149" w:hanging="360"/>
        <w:rPr>
          <w:lang w:val="es-VE"/>
        </w:rPr>
      </w:pPr>
      <w:r w:rsidRPr="00AC0085">
        <w:rPr>
          <w:lang w:val="es-VE"/>
        </w:rPr>
        <w:t xml:space="preserve">Contratar con el proveedor del HMIS y garantizar que el HMIS cumpla con los estándares técnicos y de informes del HUD; </w:t>
      </w:r>
    </w:p>
    <w:p w14:paraId="7AF12CA2" w14:textId="4632843D" w:rsidR="008D57FC" w:rsidRPr="00AC0085" w:rsidRDefault="006B69FE">
      <w:pPr>
        <w:numPr>
          <w:ilvl w:val="0"/>
          <w:numId w:val="2"/>
        </w:numPr>
        <w:spacing w:after="48"/>
        <w:ind w:right="149" w:hanging="360"/>
        <w:rPr>
          <w:lang w:val="es-VE"/>
        </w:rPr>
      </w:pPr>
      <w:r w:rsidRPr="00AC0085">
        <w:rPr>
          <w:lang w:val="es-VE"/>
        </w:rPr>
        <w:t>Desarrollar políticas y procedimientos escritos del HMIS de acuerdo con el HUD y asegurarse</w:t>
      </w:r>
      <w:r w:rsidRPr="00AC0085">
        <w:rPr>
          <w:lang w:val="es-VE"/>
        </w:rPr>
        <w:t xml:space="preserve"> de que todos los proveedores de CoC reciban y entiendan las políticas y procedimientos; </w:t>
      </w:r>
    </w:p>
    <w:p w14:paraId="5DB5214C" w14:textId="77777777" w:rsidR="008D57FC" w:rsidRPr="00AC0085" w:rsidRDefault="006B69FE">
      <w:pPr>
        <w:numPr>
          <w:ilvl w:val="0"/>
          <w:numId w:val="2"/>
        </w:numPr>
        <w:spacing w:after="48"/>
        <w:ind w:right="149" w:hanging="360"/>
        <w:rPr>
          <w:lang w:val="es-VE"/>
        </w:rPr>
      </w:pPr>
      <w:r w:rsidRPr="00AC0085">
        <w:rPr>
          <w:lang w:val="es-VE"/>
        </w:rPr>
        <w:t>Proporcionar la plataforma del HMIS a los proveedores de CoC y ejecutar acuerdos de participación de proveedores que incluyan las obligaciones y la autoridad del líde</w:t>
      </w:r>
      <w:r w:rsidRPr="00AC0085">
        <w:rPr>
          <w:lang w:val="es-VE"/>
        </w:rPr>
        <w:t xml:space="preserve">r del HMIS y de los proveedores de CoC; </w:t>
      </w:r>
    </w:p>
    <w:p w14:paraId="7E3AAAE7" w14:textId="636C69AE" w:rsidR="008D57FC" w:rsidRPr="00AC0085" w:rsidRDefault="006B69FE">
      <w:pPr>
        <w:numPr>
          <w:ilvl w:val="0"/>
          <w:numId w:val="2"/>
        </w:numPr>
        <w:spacing w:after="48"/>
        <w:ind w:right="149" w:hanging="360"/>
        <w:rPr>
          <w:lang w:val="es-VE"/>
        </w:rPr>
      </w:pPr>
      <w:r w:rsidRPr="00AC0085">
        <w:rPr>
          <w:lang w:val="es-VE"/>
        </w:rPr>
        <w:t xml:space="preserve">Supervisar la calidad de los datos y tomar las medidas necesarias para mantener la entrada de datos de alta calidad de los proveedores de CoC; </w:t>
      </w:r>
    </w:p>
    <w:p w14:paraId="54C8A622" w14:textId="77777777" w:rsidR="008D57FC" w:rsidRPr="00AC0085" w:rsidRDefault="006B69FE">
      <w:pPr>
        <w:numPr>
          <w:ilvl w:val="0"/>
          <w:numId w:val="2"/>
        </w:numPr>
        <w:spacing w:after="48"/>
        <w:ind w:right="149" w:hanging="360"/>
        <w:rPr>
          <w:lang w:val="es-VE"/>
        </w:rPr>
      </w:pPr>
      <w:r w:rsidRPr="00AC0085">
        <w:rPr>
          <w:lang w:val="es-VE"/>
        </w:rPr>
        <w:t>Asegurar la participación constante de los proveedores de CoC y los pro</w:t>
      </w:r>
      <w:r w:rsidRPr="00AC0085">
        <w:rPr>
          <w:lang w:val="es-VE"/>
        </w:rPr>
        <w:t xml:space="preserve">veedores del programa de Subvenciones de Soluciones de Emergencia (ESG, por sus siglas en inglés), incluida la supervisión del HMIS y cualquier acción correctiva necesaria para garantizar que el HMIS cumpla con los requisitos federales; </w:t>
      </w:r>
    </w:p>
    <w:p w14:paraId="4AD14B20" w14:textId="77777777" w:rsidR="008D57FC" w:rsidRPr="00AC0085" w:rsidRDefault="006B69FE">
      <w:pPr>
        <w:numPr>
          <w:ilvl w:val="0"/>
          <w:numId w:val="2"/>
        </w:numPr>
        <w:ind w:right="149" w:hanging="360"/>
        <w:rPr>
          <w:lang w:val="es-VE"/>
        </w:rPr>
      </w:pPr>
      <w:r w:rsidRPr="00AC0085">
        <w:rPr>
          <w:lang w:val="es-VE"/>
        </w:rPr>
        <w:t>Llevar a cabo reun</w:t>
      </w:r>
      <w:r w:rsidRPr="00AC0085">
        <w:rPr>
          <w:lang w:val="es-VE"/>
        </w:rPr>
        <w:t xml:space="preserve">iones de gerentes de sitio en todo CoC; </w:t>
      </w:r>
    </w:p>
    <w:p w14:paraId="07D49DC9" w14:textId="77777777" w:rsidR="008D57FC" w:rsidRPr="00AC0085" w:rsidRDefault="006B69FE">
      <w:pPr>
        <w:numPr>
          <w:ilvl w:val="0"/>
          <w:numId w:val="2"/>
        </w:numPr>
        <w:spacing w:after="48"/>
        <w:ind w:right="149" w:hanging="360"/>
        <w:rPr>
          <w:lang w:val="es-VE"/>
        </w:rPr>
      </w:pPr>
      <w:r w:rsidRPr="00AC0085">
        <w:rPr>
          <w:lang w:val="es-VE"/>
        </w:rPr>
        <w:t xml:space="preserve">Servir como Administrador de Subvenciones del HMIS y contratar con el HUD para recibir fondos del HMIS como beneficiario de la subvención del HMIS; </w:t>
      </w:r>
    </w:p>
    <w:p w14:paraId="54AC72AD" w14:textId="77777777" w:rsidR="008D57FC" w:rsidRPr="00AC0085" w:rsidRDefault="006B69FE">
      <w:pPr>
        <w:numPr>
          <w:ilvl w:val="0"/>
          <w:numId w:val="2"/>
        </w:numPr>
        <w:ind w:right="149" w:hanging="360"/>
        <w:rPr>
          <w:lang w:val="es-VE"/>
        </w:rPr>
      </w:pPr>
      <w:r w:rsidRPr="00AC0085">
        <w:rPr>
          <w:lang w:val="es-VE"/>
        </w:rPr>
        <w:t xml:space="preserve">Generar informes de CoC requeridos por el HUD; </w:t>
      </w:r>
    </w:p>
    <w:p w14:paraId="31B37083" w14:textId="77777777" w:rsidR="008D57FC" w:rsidRPr="00AC0085" w:rsidRDefault="006B69FE">
      <w:pPr>
        <w:numPr>
          <w:ilvl w:val="0"/>
          <w:numId w:val="2"/>
        </w:numPr>
        <w:spacing w:after="48"/>
        <w:ind w:right="149" w:hanging="360"/>
        <w:rPr>
          <w:lang w:val="es-VE"/>
        </w:rPr>
      </w:pPr>
      <w:r w:rsidRPr="00AC0085">
        <w:rPr>
          <w:lang w:val="es-VE"/>
        </w:rPr>
        <w:t>Proporcionar infor</w:t>
      </w:r>
      <w:r w:rsidRPr="00AC0085">
        <w:rPr>
          <w:lang w:val="es-VE"/>
        </w:rPr>
        <w:t xml:space="preserve">mes personalizados y análisis de datos para evaluar el desempeño de CoC e identificar áreas de mejora y necesidad; </w:t>
      </w:r>
    </w:p>
    <w:p w14:paraId="1A352C79" w14:textId="511F12B9" w:rsidR="008D57FC" w:rsidRPr="00AC0085" w:rsidRDefault="006B69FE">
      <w:pPr>
        <w:numPr>
          <w:ilvl w:val="0"/>
          <w:numId w:val="2"/>
        </w:numPr>
        <w:ind w:right="149" w:hanging="360"/>
        <w:rPr>
          <w:lang w:val="es-VE"/>
        </w:rPr>
      </w:pPr>
      <w:r w:rsidRPr="00AC0085">
        <w:rPr>
          <w:lang w:val="es-VE"/>
        </w:rPr>
        <w:t xml:space="preserve">Desarrollar informes personalizados según lo solicitado y necesario por la Junta de CoC o los miembros de CoC; </w:t>
      </w:r>
    </w:p>
    <w:p w14:paraId="32AA1985" w14:textId="301E2D3B" w:rsidR="008D57FC" w:rsidRPr="00AC0085" w:rsidRDefault="006B69FE">
      <w:pPr>
        <w:numPr>
          <w:ilvl w:val="0"/>
          <w:numId w:val="2"/>
        </w:numPr>
        <w:ind w:right="149" w:hanging="360"/>
        <w:rPr>
          <w:lang w:val="es-VE"/>
        </w:rPr>
      </w:pPr>
      <w:r w:rsidRPr="00AC0085">
        <w:rPr>
          <w:lang w:val="es-VE"/>
        </w:rPr>
        <w:t>Proporcionar asistencia técn</w:t>
      </w:r>
      <w:r w:rsidRPr="00AC0085">
        <w:rPr>
          <w:lang w:val="es-VE"/>
        </w:rPr>
        <w:t xml:space="preserve">ica del HMIS a los proveedores de CoC; </w:t>
      </w:r>
    </w:p>
    <w:p w14:paraId="57B339B7" w14:textId="10BA0B1A" w:rsidR="008D57FC" w:rsidRPr="00AC0085" w:rsidRDefault="006B69FE">
      <w:pPr>
        <w:numPr>
          <w:ilvl w:val="0"/>
          <w:numId w:val="2"/>
        </w:numPr>
        <w:ind w:right="149" w:hanging="360"/>
        <w:rPr>
          <w:lang w:val="es-VE"/>
        </w:rPr>
      </w:pPr>
      <w:r w:rsidRPr="00AC0085">
        <w:rPr>
          <w:lang w:val="es-VE"/>
        </w:rPr>
        <w:t xml:space="preserve">Brindar capacitación de CoC sobre el uso del HMIS, seguridad de la información y confidencialidad del cliente; </w:t>
      </w:r>
    </w:p>
    <w:p w14:paraId="75F5C573" w14:textId="77777777" w:rsidR="008D57FC" w:rsidRPr="00AC0085" w:rsidRDefault="006B69FE">
      <w:pPr>
        <w:numPr>
          <w:ilvl w:val="0"/>
          <w:numId w:val="2"/>
        </w:numPr>
        <w:ind w:right="149" w:hanging="360"/>
        <w:rPr>
          <w:lang w:val="es-VE"/>
        </w:rPr>
      </w:pPr>
      <w:r w:rsidRPr="00AC0085">
        <w:rPr>
          <w:lang w:val="es-VE"/>
        </w:rPr>
        <w:lastRenderedPageBreak/>
        <w:t xml:space="preserve">Revisar y/o actualizar los documentos y políticas de CoC al menos una vez al año y enviarlos a la Junta </w:t>
      </w:r>
      <w:r w:rsidRPr="00AC0085">
        <w:rPr>
          <w:lang w:val="es-VE"/>
        </w:rPr>
        <w:t xml:space="preserve">de CoC y a los miembros para su aprobación. Esto incluye, pero no se limita a: </w:t>
      </w:r>
    </w:p>
    <w:p w14:paraId="337B5EF0" w14:textId="3F1AADC6" w:rsidR="008D57FC" w:rsidRPr="00AC0085" w:rsidRDefault="006B69FE">
      <w:pPr>
        <w:numPr>
          <w:ilvl w:val="1"/>
          <w:numId w:val="2"/>
        </w:numPr>
        <w:ind w:right="149" w:hanging="360"/>
        <w:rPr>
          <w:lang w:val="es-VE"/>
        </w:rPr>
      </w:pPr>
      <w:r w:rsidRPr="00AC0085">
        <w:rPr>
          <w:lang w:val="es-VE"/>
        </w:rPr>
        <w:t xml:space="preserve">Plan de privacidad y seguridad </w:t>
      </w:r>
    </w:p>
    <w:p w14:paraId="75B1C1CD" w14:textId="77777777" w:rsidR="008D57FC" w:rsidRPr="00AC0085" w:rsidRDefault="006B69FE">
      <w:pPr>
        <w:numPr>
          <w:ilvl w:val="1"/>
          <w:numId w:val="2"/>
        </w:numPr>
        <w:ind w:right="149" w:hanging="360"/>
        <w:rPr>
          <w:lang w:val="es-VE"/>
        </w:rPr>
      </w:pPr>
      <w:r w:rsidRPr="00AC0085">
        <w:rPr>
          <w:lang w:val="es-VE"/>
        </w:rPr>
        <w:t xml:space="preserve">Acta Constitutiva del HMIS </w:t>
      </w:r>
    </w:p>
    <w:p w14:paraId="6056A5AC" w14:textId="338E6B5E" w:rsidR="008D57FC" w:rsidRPr="00AC0085" w:rsidRDefault="006B69FE">
      <w:pPr>
        <w:numPr>
          <w:ilvl w:val="1"/>
          <w:numId w:val="2"/>
        </w:numPr>
        <w:spacing w:after="1"/>
        <w:ind w:right="149" w:hanging="360"/>
        <w:rPr>
          <w:lang w:val="es-VE"/>
        </w:rPr>
      </w:pPr>
      <w:r w:rsidRPr="00AC0085">
        <w:rPr>
          <w:lang w:val="es-VE"/>
        </w:rPr>
        <w:t xml:space="preserve">Plan de calidad de datos </w:t>
      </w:r>
    </w:p>
    <w:p w14:paraId="79B9D43B" w14:textId="228F83F5" w:rsidR="008D57FC" w:rsidRPr="00AC0085" w:rsidRDefault="008D57FC">
      <w:pPr>
        <w:spacing w:after="1"/>
        <w:ind w:right="149"/>
        <w:rPr>
          <w:lang w:val="es-VE"/>
        </w:rPr>
      </w:pPr>
    </w:p>
    <w:p w14:paraId="76C618DB" w14:textId="3B95D317" w:rsidR="008D57FC" w:rsidRPr="00AC0085" w:rsidRDefault="006B69FE">
      <w:pPr>
        <w:tabs>
          <w:tab w:val="left" w:pos="1830"/>
        </w:tabs>
        <w:rPr>
          <w:lang w:val="es-VE"/>
        </w:rPr>
      </w:pPr>
      <w:r w:rsidRPr="00AC0085">
        <w:rPr>
          <w:lang w:val="es-VE"/>
        </w:rPr>
        <w:tab/>
      </w:r>
    </w:p>
    <w:p w14:paraId="0D179196" w14:textId="678FF9EC" w:rsidR="008D57FC" w:rsidRPr="00AC0085" w:rsidRDefault="006B69FE">
      <w:pPr>
        <w:pStyle w:val="Heading2"/>
        <w:rPr>
          <w:lang w:val="es-VE"/>
        </w:rPr>
      </w:pPr>
      <w:r w:rsidRPr="00AC0085">
        <w:rPr>
          <w:lang w:val="es-VE"/>
        </w:rPr>
        <w:t>&gt;Compromiso con la equidad</w:t>
      </w:r>
    </w:p>
    <w:p w14:paraId="617FAEB8" w14:textId="53414BDC" w:rsidR="008D57FC" w:rsidRPr="00AC0085" w:rsidRDefault="006B69FE">
      <w:pPr>
        <w:spacing w:after="1"/>
        <w:ind w:right="149"/>
        <w:rPr>
          <w:lang w:val="es-VE"/>
        </w:rPr>
      </w:pPr>
      <w:r w:rsidRPr="00AC0085">
        <w:rPr>
          <w:lang w:val="es-VE"/>
        </w:rPr>
        <w:t>Three County CoC y el líder del HMIS comparten el compromiso de promover la equidad en nuestras respuestas a las personas sin hogar en los condados de Berkshire, Hampshire y Franklin. Si bien estamos centrando la equidad racial en nuestro trabajo, debido a</w:t>
      </w:r>
      <w:r w:rsidRPr="00AC0085">
        <w:rPr>
          <w:lang w:val="es-VE"/>
        </w:rPr>
        <w:t xml:space="preserve"> la gran necesidad que vemos en nuestros datos, estamos comprometidos a garantizar la equidad entre todas las personas sobrerrepresentadas y marginadas, incluidos los miembros de la comunidad LGBTQ+, las personas con discapacidades, los sobrevivientes de t</w:t>
      </w:r>
      <w:r w:rsidRPr="00AC0085">
        <w:rPr>
          <w:lang w:val="es-VE"/>
        </w:rPr>
        <w:t>raumas, las personas que consumen sustancias y personas de todos los géneros. Con ese fin, los datos del HMIS se analizarán al menos una vez al año con el objetivo de determinar dónde existen disparidades en nuestro CoC. El líder del</w:t>
      </w:r>
      <w:r w:rsidR="00B654E2">
        <w:rPr>
          <w:lang w:val="es-VE"/>
        </w:rPr>
        <w:t xml:space="preserve"> </w:t>
      </w:r>
      <w:r w:rsidRPr="00AC0085">
        <w:rPr>
          <w:lang w:val="es-VE"/>
        </w:rPr>
        <w:t>HMIS buscará represent</w:t>
      </w:r>
      <w:r w:rsidRPr="00AC0085">
        <w:rPr>
          <w:lang w:val="es-VE"/>
        </w:rPr>
        <w:t>aciones excesivas de personas sin hogar por raza y etnia en comparación con la población general en el área de Three County, y también observará las medidas de desempeño por ciertas características demográficas para determinar si las personas de ciertas po</w:t>
      </w:r>
      <w:r w:rsidRPr="00AC0085">
        <w:rPr>
          <w:lang w:val="es-VE"/>
        </w:rPr>
        <w:t>blaciones logran resultados positivos a tasas más altas que otros. Este tipo de análisis de disparidades se llevará a cabo a nivel de CoC, así como a nivel de proyecto individual para identificar áreas de mejora. Además de analizar los datos en busca de di</w:t>
      </w:r>
      <w:r w:rsidRPr="00AC0085">
        <w:rPr>
          <w:lang w:val="es-VE"/>
        </w:rPr>
        <w:t>sparidades, el líder del HMIS se coordinará con CoC para respaldar el Plan de Equidad Racial y brindar capacitación y guiones sobre cómo recopilar datos sobre raza, etnia y género de manera culturalmente receptiva y afirmativa. Esta lista no es exhaustiva,</w:t>
      </w:r>
      <w:r w:rsidRPr="00AC0085">
        <w:rPr>
          <w:lang w:val="es-VE"/>
        </w:rPr>
        <w:t xml:space="preserve"> ya que pueden surgir nuevas y mejores estrategias para abordar las desigualdades utilizando datos y el HMIS.</w:t>
      </w:r>
    </w:p>
    <w:p w14:paraId="20876B09" w14:textId="77777777" w:rsidR="008D57FC" w:rsidRPr="00AC0085" w:rsidRDefault="006B69FE">
      <w:pPr>
        <w:spacing w:after="29" w:line="259" w:lineRule="auto"/>
        <w:ind w:left="1083" w:firstLine="0"/>
        <w:jc w:val="left"/>
        <w:rPr>
          <w:lang w:val="es-VE"/>
        </w:rPr>
      </w:pPr>
      <w:r w:rsidRPr="00AC0085">
        <w:rPr>
          <w:lang w:val="es-VE"/>
        </w:rPr>
        <w:t xml:space="preserve"> </w:t>
      </w:r>
    </w:p>
    <w:p w14:paraId="10146664" w14:textId="77777777" w:rsidR="008D57FC" w:rsidRPr="00AC0085" w:rsidRDefault="006B69FE">
      <w:pPr>
        <w:spacing w:after="0" w:line="259" w:lineRule="auto"/>
        <w:ind w:left="346" w:firstLine="0"/>
        <w:jc w:val="left"/>
        <w:rPr>
          <w:lang w:val="es-VE"/>
        </w:rPr>
      </w:pPr>
      <w:r w:rsidRPr="00AC0085">
        <w:rPr>
          <w:lang w:val="es-VE"/>
        </w:rPr>
        <w:t xml:space="preserve"> </w:t>
      </w:r>
    </w:p>
    <w:p w14:paraId="6D59B81C" w14:textId="51BC8063" w:rsidR="008D57FC" w:rsidRPr="00AC0085" w:rsidRDefault="006B69FE">
      <w:pPr>
        <w:pStyle w:val="Heading1"/>
        <w:spacing w:after="98"/>
        <w:ind w:left="343"/>
        <w:rPr>
          <w:lang w:val="es-VE"/>
        </w:rPr>
      </w:pPr>
      <w:r w:rsidRPr="00AC0085">
        <w:rPr>
          <w:color w:val="232852"/>
          <w:lang w:val="es-VE"/>
        </w:rPr>
        <w:t xml:space="preserve">Estipulaciones </w:t>
      </w:r>
      <w:r w:rsidRPr="00AC0085">
        <w:rPr>
          <w:lang w:val="es-VE"/>
        </w:rPr>
        <w:t>sobre las responsabilidades</w:t>
      </w:r>
      <w:r w:rsidR="00B654E2">
        <w:rPr>
          <w:lang w:val="es-VE"/>
        </w:rPr>
        <w:t xml:space="preserve"> </w:t>
      </w:r>
      <w:r w:rsidRPr="00AC0085">
        <w:rPr>
          <w:color w:val="232852"/>
          <w:lang w:val="es-VE"/>
        </w:rPr>
        <w:t xml:space="preserve">de implementación </w:t>
      </w:r>
      <w:r w:rsidRPr="00AC0085">
        <w:rPr>
          <w:lang w:val="es-VE"/>
        </w:rPr>
        <w:t>del</w:t>
      </w:r>
      <w:r w:rsidR="00B654E2">
        <w:rPr>
          <w:lang w:val="es-VE"/>
        </w:rPr>
        <w:t xml:space="preserve"> </w:t>
      </w:r>
      <w:r w:rsidRPr="00AC0085">
        <w:rPr>
          <w:color w:val="232852"/>
          <w:lang w:val="es-VE"/>
        </w:rPr>
        <w:t>HMIS</w:t>
      </w:r>
      <w:r w:rsidRPr="00AC0085">
        <w:rPr>
          <w:b w:val="0"/>
          <w:color w:val="000000"/>
          <w:lang w:val="es-VE"/>
        </w:rPr>
        <w:t xml:space="preserve"> </w:t>
      </w:r>
    </w:p>
    <w:p w14:paraId="7F27F8B3" w14:textId="77777777" w:rsidR="008D57FC" w:rsidRPr="00AC0085" w:rsidRDefault="006B69FE">
      <w:pPr>
        <w:pStyle w:val="Heading2"/>
        <w:rPr>
          <w:lang w:val="es-VE"/>
        </w:rPr>
      </w:pPr>
      <w:r w:rsidRPr="00AC0085">
        <w:rPr>
          <w:sz w:val="27"/>
          <w:lang w:val="es-VE"/>
        </w:rPr>
        <w:t>&gt;</w:t>
      </w:r>
      <w:r w:rsidRPr="00AC0085">
        <w:rPr>
          <w:lang w:val="es-VE"/>
        </w:rPr>
        <w:t xml:space="preserve">Otorgamiento de subvención e igualación del HMIS </w:t>
      </w:r>
    </w:p>
    <w:p w14:paraId="4E98AFC4" w14:textId="6F7B530A" w:rsidR="008D57FC" w:rsidRPr="00AC0085" w:rsidRDefault="006B69FE" w:rsidP="00225CB8">
      <w:pPr>
        <w:spacing w:after="100" w:line="248" w:lineRule="auto"/>
        <w:ind w:left="353" w:hanging="20"/>
        <w:rPr>
          <w:lang w:val="es-VE"/>
        </w:rPr>
      </w:pPr>
      <w:r w:rsidRPr="00AC0085">
        <w:rPr>
          <w:lang w:val="es-VE"/>
        </w:rPr>
        <w:t>Three County CoC prepa</w:t>
      </w:r>
      <w:r w:rsidRPr="00AC0085">
        <w:rPr>
          <w:lang w:val="es-VE"/>
        </w:rPr>
        <w:t>ra y presenta la solicitud de subvención para el proyecto del HMIS como parte del proceso de solicitud consolidada y garantiza que los fondos otorgados se utilicen adecuadamente. CoC también se asegura de que haya suficiente igualación disponible para este</w:t>
      </w:r>
      <w:r w:rsidRPr="00AC0085">
        <w:rPr>
          <w:lang w:val="es-VE"/>
        </w:rPr>
        <w:t xml:space="preserve"> fondo de subvención. Como proyecto sin arrendamiento, esto asciende al 25% del monto total solicitado; financiamiento de Asistencia de Proyectos y financiamiento de Administración de Proyectos combinados. CoC asegura la igualación para la subvención del H</w:t>
      </w:r>
      <w:r w:rsidRPr="00AC0085">
        <w:rPr>
          <w:lang w:val="es-VE"/>
        </w:rPr>
        <w:t>MIS a través de un cargo anual a cada sub</w:t>
      </w:r>
      <w:r w:rsidRPr="00AC0085">
        <w:rPr>
          <w:lang w:val="es-VE"/>
        </w:rPr>
        <w:t xml:space="preserve">beneficiario financiado por CoC que participa en el HMIS en función del porcentaje de la subvención total que recibe cada subbeneficiario. Puede encontrar más información sobre </w:t>
      </w:r>
      <w:r w:rsidRPr="00AC0085">
        <w:rPr>
          <w:lang w:val="es-VE"/>
        </w:rPr>
        <w:lastRenderedPageBreak/>
        <w:t>Igualación del HMIS más adelante en es</w:t>
      </w:r>
      <w:r w:rsidRPr="00AC0085">
        <w:rPr>
          <w:lang w:val="es-VE"/>
        </w:rPr>
        <w:t>te documento bajo Responsabilidades de las Organizaciones Participantes.</w:t>
      </w:r>
      <w:r w:rsidRPr="00AC0085">
        <w:rPr>
          <w:color w:val="232852"/>
          <w:lang w:val="es-VE"/>
        </w:rPr>
        <w:t xml:space="preserve"> </w:t>
      </w:r>
    </w:p>
    <w:p w14:paraId="5B68B9CD" w14:textId="77777777" w:rsidR="008D57FC" w:rsidRPr="00AC0085" w:rsidRDefault="006B69FE">
      <w:pPr>
        <w:pStyle w:val="P68B1DB1-Normal7"/>
        <w:spacing w:after="134" w:line="259" w:lineRule="auto"/>
        <w:ind w:left="348" w:firstLine="0"/>
        <w:jc w:val="left"/>
        <w:rPr>
          <w:lang w:val="es-VE"/>
        </w:rPr>
      </w:pPr>
      <w:r w:rsidRPr="00AC0085">
        <w:rPr>
          <w:lang w:val="es-VE"/>
        </w:rPr>
        <w:t xml:space="preserve"> </w:t>
      </w:r>
    </w:p>
    <w:p w14:paraId="2CB95AEA" w14:textId="77777777" w:rsidR="008D57FC" w:rsidRPr="00AC0085" w:rsidRDefault="006B69FE">
      <w:pPr>
        <w:pStyle w:val="Heading2"/>
        <w:rPr>
          <w:lang w:val="es-VE"/>
        </w:rPr>
      </w:pPr>
      <w:r w:rsidRPr="00AC0085">
        <w:rPr>
          <w:sz w:val="27"/>
          <w:lang w:val="es-VE"/>
        </w:rPr>
        <w:t>&gt;</w:t>
      </w:r>
      <w:r w:rsidRPr="00AC0085">
        <w:rPr>
          <w:lang w:val="es-VE"/>
        </w:rPr>
        <w:t xml:space="preserve">Calidad de datos </w:t>
      </w:r>
      <w:r w:rsidRPr="00AC0085">
        <w:rPr>
          <w:sz w:val="27"/>
          <w:lang w:val="es-VE"/>
        </w:rPr>
        <w:t xml:space="preserve"> </w:t>
      </w:r>
    </w:p>
    <w:p w14:paraId="0C9E75E9" w14:textId="67021CE7" w:rsidR="008D57FC" w:rsidRPr="00AC0085" w:rsidRDefault="006B69FE">
      <w:pPr>
        <w:spacing w:after="674"/>
        <w:ind w:left="358" w:right="262"/>
        <w:rPr>
          <w:lang w:val="es-VE"/>
        </w:rPr>
      </w:pPr>
      <w:r w:rsidRPr="00AC0085">
        <w:rPr>
          <w:lang w:val="es-VE"/>
        </w:rPr>
        <w:t>El Gerente de Datos y Evaluación, en nombre de CoC, monitorea regularmente la calidad de los datos del HMIS para garantizar que se cumplan los estándares del HU</w:t>
      </w:r>
      <w:r w:rsidRPr="00AC0085">
        <w:rPr>
          <w:lang w:val="es-VE"/>
        </w:rPr>
        <w:t xml:space="preserve">D y que se puedan generar informes para CoC y sus partes interesadas que establezcan claramente las áreas de mejora, si es necesario. El monitoreo consiste en informes trimestrales sobre la calidad de los datos junto con comunicación directa, intervención </w:t>
      </w:r>
      <w:r w:rsidRPr="00AC0085">
        <w:rPr>
          <w:lang w:val="es-VE"/>
        </w:rPr>
        <w:t>y seguimiento con cada proveedor según sea necesario. La calidad general de los datos debe cumplir con los estándares actuales del HUD y CoC según se define en el Plan de Calidad de Datos de CoC</w:t>
      </w:r>
      <w:r w:rsidRPr="00AC0085">
        <w:rPr>
          <w:sz w:val="22"/>
          <w:lang w:val="es-VE"/>
        </w:rPr>
        <w:t xml:space="preserve">.  </w:t>
      </w:r>
    </w:p>
    <w:p w14:paraId="4F959504" w14:textId="77777777" w:rsidR="008D57FC" w:rsidRPr="00AC0085" w:rsidRDefault="006B69FE">
      <w:pPr>
        <w:pStyle w:val="Heading2"/>
        <w:rPr>
          <w:lang w:val="es-VE"/>
        </w:rPr>
      </w:pPr>
      <w:r w:rsidRPr="00AC0085">
        <w:rPr>
          <w:lang w:val="es-VE"/>
        </w:rPr>
        <w:t xml:space="preserve">&gt;Recuento no duplicado </w:t>
      </w:r>
    </w:p>
    <w:p w14:paraId="59D82B8F" w14:textId="571BBFC7" w:rsidR="008D57FC" w:rsidRPr="00AC0085" w:rsidRDefault="006B69FE">
      <w:pPr>
        <w:spacing w:after="628"/>
        <w:ind w:left="358" w:right="260"/>
        <w:rPr>
          <w:lang w:val="es-VE"/>
        </w:rPr>
      </w:pPr>
      <w:r w:rsidRPr="00AC0085">
        <w:rPr>
          <w:lang w:val="es-VE"/>
        </w:rPr>
        <w:t xml:space="preserve">El Gerente de Datos y Evaluación, </w:t>
      </w:r>
      <w:r w:rsidRPr="00AC0085">
        <w:rPr>
          <w:lang w:val="es-VE"/>
        </w:rPr>
        <w:t>en nombre de CoC, presenta un recuento no duplicado de los clientes atendidos al menos una vez al año o a pedido del HUD. El recuento no duplicado debe basarse en fechas precisas de entrada y salida del programa. La metodología de CoC para garantizar fecha</w:t>
      </w:r>
      <w:r w:rsidRPr="00AC0085">
        <w:rPr>
          <w:lang w:val="es-VE"/>
        </w:rPr>
        <w:t xml:space="preserve">s precisas de entrada/salida del programa se describe en el Plan de Calidad de Datos de CoC. </w:t>
      </w:r>
    </w:p>
    <w:p w14:paraId="6F237084" w14:textId="77777777" w:rsidR="008D57FC" w:rsidRPr="00AC0085" w:rsidRDefault="006B69FE">
      <w:pPr>
        <w:pStyle w:val="Heading2"/>
        <w:rPr>
          <w:lang w:val="es-VE"/>
        </w:rPr>
      </w:pPr>
      <w:r w:rsidRPr="00AC0085">
        <w:rPr>
          <w:lang w:val="es-VE"/>
        </w:rPr>
        <w:t>&gt;Informes</w:t>
      </w:r>
      <w:r w:rsidRPr="00AC0085">
        <w:rPr>
          <w:b w:val="0"/>
          <w:color w:val="000000"/>
          <w:lang w:val="es-VE"/>
        </w:rPr>
        <w:t xml:space="preserve"> </w:t>
      </w:r>
      <w:r w:rsidRPr="00AC0085">
        <w:rPr>
          <w:lang w:val="es-VE"/>
        </w:rPr>
        <w:t xml:space="preserve"> </w:t>
      </w:r>
    </w:p>
    <w:p w14:paraId="24F07051" w14:textId="5E992AC7" w:rsidR="008D57FC" w:rsidRPr="00AC0085" w:rsidRDefault="006B69FE">
      <w:pPr>
        <w:spacing w:after="651"/>
        <w:ind w:left="358" w:right="265"/>
        <w:rPr>
          <w:lang w:val="es-VE"/>
        </w:rPr>
      </w:pPr>
      <w:r w:rsidRPr="00AC0085">
        <w:rPr>
          <w:lang w:val="es-VE"/>
        </w:rPr>
        <w:t>El Gerente de Datos y Evaluación envía informes a CoC y al</w:t>
      </w:r>
      <w:r w:rsidRPr="00AC0085">
        <w:rPr>
          <w:color w:val="222222"/>
          <w:sz w:val="22"/>
          <w:lang w:val="es-VE"/>
        </w:rPr>
        <w:t xml:space="preserve"> </w:t>
      </w:r>
      <w:r w:rsidRPr="00AC0085">
        <w:rPr>
          <w:lang w:val="es-VE"/>
        </w:rPr>
        <w:t>HUD según sea necesario, incluidos los APR de CoC y del Subbeneficiario, los informes de Análisis de Sistemas Longitudinales, las Medidas de Rendimiento de los Sistemas, los informes del HMIS para el Recuento de Momentos Determinados, los informes del HMIS</w:t>
      </w:r>
      <w:r w:rsidRPr="00AC0085">
        <w:rPr>
          <w:lang w:val="es-VE"/>
        </w:rPr>
        <w:t xml:space="preserve"> para el Recuento de Inventario de Viviendas y los informes de Solicitud para el Programa de CoC. </w:t>
      </w:r>
    </w:p>
    <w:p w14:paraId="6A74448F" w14:textId="77777777" w:rsidR="008D57FC" w:rsidRPr="00AC0085" w:rsidRDefault="006B69FE">
      <w:pPr>
        <w:pStyle w:val="Heading2"/>
        <w:rPr>
          <w:lang w:val="es-VE"/>
        </w:rPr>
      </w:pPr>
      <w:r w:rsidRPr="00AC0085">
        <w:rPr>
          <w:lang w:val="es-VE"/>
        </w:rPr>
        <w:t>&gt;Evaluación y Entrada Coordinada</w:t>
      </w:r>
      <w:r w:rsidRPr="00AC0085">
        <w:rPr>
          <w:color w:val="000000"/>
          <w:sz w:val="22"/>
          <w:lang w:val="es-VE"/>
        </w:rPr>
        <w:t xml:space="preserve"> </w:t>
      </w:r>
    </w:p>
    <w:p w14:paraId="76B0DB77" w14:textId="2376C69E" w:rsidR="008D57FC" w:rsidRPr="00AC0085" w:rsidRDefault="006B69FE">
      <w:pPr>
        <w:ind w:left="462" w:right="256"/>
        <w:rPr>
          <w:lang w:val="es-VE"/>
        </w:rPr>
      </w:pPr>
      <w:r w:rsidRPr="00AC0085">
        <w:rPr>
          <w:lang w:val="es-VE"/>
        </w:rPr>
        <w:t>El desarrollo y la implementación exitosos del Sistema de Entrada Coordinada de CoC dependerán del uso efectivo del HMIS, q</w:t>
      </w:r>
      <w:r w:rsidRPr="00AC0085">
        <w:rPr>
          <w:lang w:val="es-VE"/>
        </w:rPr>
        <w:t>ue incluye: la integración de los procesos de selección y evaluación en los procesos de recopilación de datos del HMIS; uso eficaz de elementos de datos del HMIS y funcionalidad de informes para aumentar los procesos de selección y evaluación (por ejemplo,</w:t>
      </w:r>
      <w:r w:rsidRPr="00AC0085">
        <w:rPr>
          <w:lang w:val="es-VE"/>
        </w:rPr>
        <w:t xml:space="preserve"> mediante consultas personalizadas a intervalos regulares para identificar candidatos para vivienda, según los criterios de elegibilidad); y referencias cruzadas entre agencias y programas usando la funcionalidad de referencia de Clarity o procesos electró</w:t>
      </w:r>
      <w:r w:rsidRPr="00AC0085">
        <w:rPr>
          <w:lang w:val="es-VE"/>
        </w:rPr>
        <w:t xml:space="preserve">nicos similares. Con este fin, el Gerente de Datos y Evaluación debe participar en los </w:t>
      </w:r>
      <w:r w:rsidRPr="00AC0085">
        <w:rPr>
          <w:lang w:val="es-VE"/>
        </w:rPr>
        <w:lastRenderedPageBreak/>
        <w:t xml:space="preserve">procesos de planificación local y regional relacionados con el Sistema de Entrada Coordinada y brindar asistencia técnica cuando sea necesario. </w:t>
      </w:r>
    </w:p>
    <w:p w14:paraId="1B7172F4" w14:textId="77777777" w:rsidR="008D57FC" w:rsidRPr="00AC0085" w:rsidRDefault="006B69FE">
      <w:pPr>
        <w:spacing w:after="71" w:line="259" w:lineRule="auto"/>
        <w:ind w:left="452" w:firstLine="0"/>
        <w:jc w:val="left"/>
        <w:rPr>
          <w:lang w:val="es-VE"/>
        </w:rPr>
      </w:pPr>
      <w:r w:rsidRPr="00AC0085">
        <w:rPr>
          <w:lang w:val="es-VE"/>
        </w:rPr>
        <w:t xml:space="preserve"> </w:t>
      </w:r>
    </w:p>
    <w:p w14:paraId="6247A4A2" w14:textId="1EAE5FF6" w:rsidR="008D57FC" w:rsidRPr="00AC0085" w:rsidRDefault="006B69FE">
      <w:pPr>
        <w:pStyle w:val="Heading2"/>
        <w:rPr>
          <w:lang w:val="es-VE"/>
        </w:rPr>
      </w:pPr>
      <w:r w:rsidRPr="00AC0085">
        <w:rPr>
          <w:lang w:val="es-VE"/>
        </w:rPr>
        <w:t>&gt;Integración de datos</w:t>
      </w:r>
      <w:r w:rsidRPr="00AC0085">
        <w:rPr>
          <w:color w:val="000000" w:themeColor="text1"/>
          <w:sz w:val="22"/>
          <w:lang w:val="es-VE"/>
        </w:rPr>
        <w:t xml:space="preserve"> </w:t>
      </w:r>
    </w:p>
    <w:p w14:paraId="73DCC43D" w14:textId="2CB50484" w:rsidR="008D57FC" w:rsidRPr="00AC0085" w:rsidRDefault="006B69FE">
      <w:pPr>
        <w:ind w:left="462" w:right="262"/>
        <w:rPr>
          <w:lang w:val="es-VE"/>
        </w:rPr>
      </w:pPr>
      <w:r w:rsidRPr="00AC0085">
        <w:rPr>
          <w:lang w:val="es-VE"/>
        </w:rPr>
        <w:t>El Gerente de Datos y Evaluación, en nombre de CoC, importa datos de manera oportuna y precisa al Almacén de Datos Green River de Three County CoC desde MAHMIS ETO ASIST del estado, CaseWorthy de Soldier On y ETO Enterprise de la ciudad de Springfield. So</w:t>
      </w:r>
      <w:r w:rsidRPr="00AC0085">
        <w:rPr>
          <w:lang w:val="es-VE"/>
        </w:rPr>
        <w:t>lo los datos de Three County CoC se extraen de estos tres sistemas y se importan al Almacén de Datos. Los datos del sistema MAHMIS ETO ASIST que no se recopilan en el HMIS Clarity de CAPV, específicamente los datos de refugios familiares de Asistencia de E</w:t>
      </w:r>
      <w:r w:rsidRPr="00AC0085">
        <w:rPr>
          <w:lang w:val="es-VE"/>
        </w:rPr>
        <w:t>mergencia de Massachusetts, y los datos de Three County CoC del HMIS CaseWorthy de Soldier On se importan al HMIS Clarity de CAPV para informar con precisión sobre nuestro</w:t>
      </w:r>
      <w:r w:rsidRPr="00AC0085">
        <w:rPr>
          <w:lang w:val="es-VE"/>
        </w:rPr>
        <w:t xml:space="preserve"> estado y desempeño de CoC desde el HMIS Clarity de CAPV. </w:t>
      </w:r>
    </w:p>
    <w:p w14:paraId="325CE300" w14:textId="77777777" w:rsidR="008D57FC" w:rsidRPr="00AC0085" w:rsidRDefault="006B69FE">
      <w:pPr>
        <w:spacing w:after="107" w:line="259" w:lineRule="auto"/>
        <w:ind w:left="452" w:firstLine="0"/>
        <w:jc w:val="left"/>
        <w:rPr>
          <w:lang w:val="es-VE"/>
        </w:rPr>
      </w:pPr>
      <w:r w:rsidRPr="00AC0085">
        <w:rPr>
          <w:lang w:val="es-VE"/>
        </w:rPr>
        <w:t xml:space="preserve"> </w:t>
      </w:r>
    </w:p>
    <w:p w14:paraId="124A9F5C" w14:textId="77777777" w:rsidR="008D57FC" w:rsidRPr="00AC0085" w:rsidRDefault="006B69FE">
      <w:pPr>
        <w:pStyle w:val="Heading2"/>
        <w:spacing w:after="0"/>
        <w:ind w:left="474"/>
        <w:rPr>
          <w:lang w:val="es-VE"/>
        </w:rPr>
      </w:pPr>
      <w:r w:rsidRPr="00AC0085">
        <w:rPr>
          <w:color w:val="313771"/>
          <w:sz w:val="32"/>
          <w:lang w:val="es-VE"/>
        </w:rPr>
        <w:t>Responsabilidades de la</w:t>
      </w:r>
      <w:r w:rsidRPr="00AC0085">
        <w:rPr>
          <w:color w:val="313771"/>
          <w:sz w:val="32"/>
          <w:lang w:val="es-VE"/>
        </w:rPr>
        <w:t xml:space="preserve"> Junta Directiva de CoC</w:t>
      </w:r>
      <w:r w:rsidRPr="00AC0085">
        <w:rPr>
          <w:b w:val="0"/>
          <w:color w:val="313771"/>
          <w:sz w:val="32"/>
          <w:lang w:val="es-VE"/>
        </w:rPr>
        <w:t xml:space="preserve"> </w:t>
      </w:r>
      <w:r w:rsidRPr="00AC0085">
        <w:rPr>
          <w:color w:val="000000"/>
          <w:sz w:val="22"/>
          <w:lang w:val="es-VE"/>
        </w:rPr>
        <w:t xml:space="preserve"> </w:t>
      </w:r>
    </w:p>
    <w:p w14:paraId="00D53EC4" w14:textId="77777777" w:rsidR="008D57FC" w:rsidRPr="00AC0085" w:rsidRDefault="006B69FE">
      <w:pPr>
        <w:ind w:left="462" w:right="149"/>
        <w:rPr>
          <w:lang w:val="es-VE"/>
        </w:rPr>
      </w:pPr>
      <w:r w:rsidRPr="00AC0085">
        <w:rPr>
          <w:lang w:val="es-VE"/>
        </w:rPr>
        <w:t>La Junta Directiva de CoC proporciona supervisión fiscal del proyecto del HMIS de CoC para garantizar la rendición de cuentas. Actúa sobre las recomendaciones hechas por el Comité de Evaluación de Datos de CoC, por ejemplo, con re</w:t>
      </w:r>
      <w:r w:rsidRPr="00AC0085">
        <w:rPr>
          <w:lang w:val="es-VE"/>
        </w:rPr>
        <w:t xml:space="preserve">specto a las actividades del proyecto para que cumplan mejor con las metas y los objetivos de CoC. </w:t>
      </w:r>
    </w:p>
    <w:p w14:paraId="501E4887" w14:textId="04202B0A" w:rsidR="008D57FC" w:rsidRDefault="006B69FE" w:rsidP="0028412A">
      <w:pPr>
        <w:spacing w:after="1"/>
        <w:ind w:left="462" w:right="149"/>
        <w:rPr>
          <w:lang w:val="es-VE"/>
        </w:rPr>
      </w:pPr>
      <w:r w:rsidRPr="00AC0085">
        <w:rPr>
          <w:lang w:val="es-VE"/>
        </w:rPr>
        <w:t xml:space="preserve">Las responsabilidades y deberes de la Junta Directiva relevantes para el HMIS se describen en la Tabla </w:t>
      </w:r>
      <w:r w:rsidRPr="00AC0085">
        <w:rPr>
          <w:lang w:val="es-VE"/>
        </w:rPr>
        <w:t xml:space="preserve">1. </w:t>
      </w:r>
    </w:p>
    <w:p w14:paraId="611FD3FB" w14:textId="1D142A9D" w:rsidR="0028412A" w:rsidRDefault="0028412A" w:rsidP="0028412A">
      <w:pPr>
        <w:spacing w:after="1"/>
        <w:ind w:left="462" w:right="149"/>
        <w:rPr>
          <w:lang w:val="es-VE"/>
        </w:rPr>
      </w:pPr>
    </w:p>
    <w:p w14:paraId="29B38820" w14:textId="77777777" w:rsidR="0028412A" w:rsidRPr="00AC0085" w:rsidRDefault="0028412A" w:rsidP="0028412A">
      <w:pPr>
        <w:spacing w:after="1"/>
        <w:ind w:left="462" w:right="149"/>
        <w:rPr>
          <w:lang w:val="es-VE"/>
        </w:rPr>
      </w:pPr>
    </w:p>
    <w:p w14:paraId="16FB4AC6" w14:textId="77777777" w:rsidR="008D57FC" w:rsidRPr="00AC0085" w:rsidRDefault="006B69FE">
      <w:pPr>
        <w:pStyle w:val="Heading2"/>
        <w:spacing w:after="0"/>
        <w:ind w:left="464"/>
        <w:rPr>
          <w:lang w:val="es-VE"/>
        </w:rPr>
      </w:pPr>
      <w:r w:rsidRPr="00AC0085">
        <w:rPr>
          <w:color w:val="313771"/>
          <w:sz w:val="32"/>
          <w:lang w:val="es-VE"/>
        </w:rPr>
        <w:t>Responsabilidades del Comité de Evaluación de Da</w:t>
      </w:r>
      <w:r w:rsidRPr="00AC0085">
        <w:rPr>
          <w:color w:val="313771"/>
          <w:sz w:val="32"/>
          <w:lang w:val="es-VE"/>
        </w:rPr>
        <w:t>tos de CoC</w:t>
      </w:r>
      <w:r w:rsidRPr="00AC0085">
        <w:rPr>
          <w:b w:val="0"/>
          <w:color w:val="313771"/>
          <w:sz w:val="32"/>
          <w:lang w:val="es-VE"/>
        </w:rPr>
        <w:t xml:space="preserve"> </w:t>
      </w:r>
      <w:r w:rsidRPr="00AC0085">
        <w:rPr>
          <w:color w:val="000000"/>
          <w:sz w:val="22"/>
          <w:lang w:val="es-VE"/>
        </w:rPr>
        <w:t xml:space="preserve"> </w:t>
      </w:r>
    </w:p>
    <w:p w14:paraId="5ABF5C9D" w14:textId="5289D3B6" w:rsidR="008D57FC" w:rsidRPr="00AC0085" w:rsidRDefault="006B69FE">
      <w:pPr>
        <w:spacing w:after="359"/>
        <w:ind w:left="462" w:right="149"/>
        <w:rPr>
          <w:lang w:val="es-VE"/>
        </w:rPr>
      </w:pPr>
      <w:r w:rsidRPr="00AC0085">
        <w:rPr>
          <w:lang w:val="es-VE"/>
        </w:rPr>
        <w:t>El Comité de Evaluación de Datos de CoC trabaja con el líder del HMIS/CoC para monitorear y revisar el proyecto del HMIS, así como para monitorear y revisar los resultados de los proyectos y sistemas de CoC. El Comité revisa y envía los docume</w:t>
      </w:r>
      <w:r w:rsidRPr="00AC0085">
        <w:rPr>
          <w:lang w:val="es-VE"/>
        </w:rPr>
        <w:t xml:space="preserve">ntos, políticas, procedimientos y similares aprobados a la Junta de CoC para su aprobación final. El Comité, en colaboración con el líder del HMIS, es responsable de preparar informes de progreso anuales para rastrear el progreso de CoC hacia la reducción </w:t>
      </w:r>
      <w:r w:rsidRPr="00AC0085">
        <w:rPr>
          <w:lang w:val="es-VE"/>
        </w:rPr>
        <w:t xml:space="preserve">y el fin de la falta de vivienda. El Comité de Evaluación de Datos también es responsable de proporcionar comentarios sobre los informes a nivel comunitario y de CoC, ayudar a revisar las políticas, la gobernanza y los estatutos del HMIS, y garantizar que </w:t>
      </w:r>
      <w:r w:rsidRPr="00AC0085">
        <w:rPr>
          <w:lang w:val="es-VE"/>
        </w:rPr>
        <w:t>se protejan los derechos y la privacidad de los clientes. Los comités de CoC, incluido el Comité de Evaluación de Datos, pueden actuar en nombre de Three County CoC como se especifica en este documento. Las responsabilidades y deberes del Comité se describ</w:t>
      </w:r>
      <w:r w:rsidRPr="00AC0085">
        <w:rPr>
          <w:lang w:val="es-VE"/>
        </w:rPr>
        <w:t>en en la Tabla 1.</w:t>
      </w:r>
      <w:r w:rsidRPr="00AC0085">
        <w:rPr>
          <w:sz w:val="28"/>
          <w:lang w:val="es-VE"/>
        </w:rPr>
        <w:t xml:space="preserve"> </w:t>
      </w:r>
    </w:p>
    <w:p w14:paraId="4F9ADD56" w14:textId="77777777" w:rsidR="008D57FC" w:rsidRPr="00AC0085" w:rsidRDefault="006B69FE">
      <w:pPr>
        <w:pStyle w:val="P68B1DB1-Heading28"/>
        <w:spacing w:after="0"/>
        <w:ind w:left="464"/>
        <w:rPr>
          <w:lang w:val="es-VE"/>
        </w:rPr>
      </w:pPr>
      <w:r w:rsidRPr="00AC0085">
        <w:rPr>
          <w:lang w:val="es-VE"/>
        </w:rPr>
        <w:t xml:space="preserve">Responsabilidades de los miembros de CoC </w:t>
      </w:r>
    </w:p>
    <w:p w14:paraId="522B5669" w14:textId="6D4845AD" w:rsidR="008D57FC" w:rsidRPr="00AC0085" w:rsidRDefault="006B69FE">
      <w:pPr>
        <w:spacing w:after="61" w:line="248" w:lineRule="auto"/>
        <w:ind w:left="474" w:hanging="20"/>
        <w:jc w:val="left"/>
        <w:rPr>
          <w:lang w:val="es-VE"/>
        </w:rPr>
      </w:pPr>
      <w:r w:rsidRPr="00AC0085">
        <w:rPr>
          <w:lang w:val="es-VE"/>
        </w:rPr>
        <w:t>La membresía de CoC se define como aquellas personas y organizaciones que asisten a las reuniones del comité o grupos de trabajo y/o son miembros de la Red del Oeste de</w:t>
      </w:r>
      <w:r w:rsidR="006629D1">
        <w:rPr>
          <w:lang w:val="es-VE"/>
        </w:rPr>
        <w:t xml:space="preserve"> </w:t>
      </w:r>
      <w:r w:rsidRPr="00AC0085">
        <w:rPr>
          <w:lang w:val="es-VE"/>
        </w:rPr>
        <w:lastRenderedPageBreak/>
        <w:t>Massachusetts para Terminar con la Falta de Vivienda.</w:t>
      </w:r>
      <w:r w:rsidRPr="00AC0085">
        <w:rPr>
          <w:color w:val="313771"/>
          <w:sz w:val="32"/>
          <w:lang w:val="es-VE"/>
        </w:rPr>
        <w:t xml:space="preserve"> </w:t>
      </w:r>
      <w:r w:rsidRPr="00AC0085">
        <w:rPr>
          <w:lang w:val="es-VE"/>
        </w:rPr>
        <w:t>La Membresía de CoC es responsabl</w:t>
      </w:r>
      <w:r w:rsidRPr="00AC0085">
        <w:rPr>
          <w:lang w:val="es-VE"/>
        </w:rPr>
        <w:t>e de revisar los cambios a las políticas del HMIS y aprobar los cambios al Acta Constitutiva del HMIS (este documento) y participa en los comités de CoC, incluido el Comité de Evaluación de Datos, según sea necesario. Las responsabilidades y deberes de los</w:t>
      </w:r>
      <w:r w:rsidRPr="00AC0085">
        <w:rPr>
          <w:lang w:val="es-VE"/>
        </w:rPr>
        <w:t xml:space="preserve"> miembros de CoC relevantes para el HMIS se describen en la Tabla 1.</w:t>
      </w:r>
      <w:r w:rsidRPr="00AC0085">
        <w:rPr>
          <w:b/>
          <w:sz w:val="22"/>
          <w:lang w:val="es-VE"/>
        </w:rPr>
        <w:t xml:space="preserve"> </w:t>
      </w:r>
    </w:p>
    <w:p w14:paraId="27B8F768" w14:textId="77777777" w:rsidR="008D57FC" w:rsidRPr="00AC0085" w:rsidRDefault="006B69FE">
      <w:pPr>
        <w:spacing w:after="0" w:line="259" w:lineRule="auto"/>
        <w:ind w:left="461" w:firstLine="0"/>
        <w:jc w:val="left"/>
        <w:rPr>
          <w:lang w:val="es-VE"/>
        </w:rPr>
      </w:pPr>
      <w:r w:rsidRPr="00AC0085">
        <w:rPr>
          <w:lang w:val="es-VE"/>
        </w:rPr>
        <w:t xml:space="preserve"> </w:t>
      </w:r>
      <w:r w:rsidRPr="00AC0085">
        <w:rPr>
          <w:lang w:val="es-VE"/>
        </w:rPr>
        <w:tab/>
        <w:t xml:space="preserve"> </w:t>
      </w:r>
    </w:p>
    <w:tbl>
      <w:tblPr>
        <w:tblStyle w:val="TableGrid1"/>
        <w:tblW w:w="10982" w:type="dxa"/>
        <w:tblInd w:w="-103" w:type="dxa"/>
        <w:tblCellMar>
          <w:top w:w="44" w:type="dxa"/>
          <w:bottom w:w="30" w:type="dxa"/>
          <w:right w:w="115" w:type="dxa"/>
        </w:tblCellMar>
        <w:tblLook w:val="04A0" w:firstRow="1" w:lastRow="0" w:firstColumn="1" w:lastColumn="0" w:noHBand="0" w:noVBand="1"/>
      </w:tblPr>
      <w:tblGrid>
        <w:gridCol w:w="3063"/>
        <w:gridCol w:w="1934"/>
        <w:gridCol w:w="5985"/>
      </w:tblGrid>
      <w:tr w:rsidR="008D57FC" w:rsidRPr="00AC0085" w14:paraId="0243BEC9" w14:textId="77777777">
        <w:trPr>
          <w:trHeight w:val="458"/>
        </w:trPr>
        <w:tc>
          <w:tcPr>
            <w:tcW w:w="3063" w:type="dxa"/>
            <w:tcBorders>
              <w:top w:val="single" w:sz="4" w:space="0" w:color="000000"/>
              <w:left w:val="nil"/>
              <w:bottom w:val="single" w:sz="4" w:space="0" w:color="000000"/>
              <w:right w:val="nil"/>
            </w:tcBorders>
            <w:shd w:val="clear" w:color="auto" w:fill="BFBFBF"/>
            <w:vAlign w:val="bottom"/>
          </w:tcPr>
          <w:p w14:paraId="4992AC2C" w14:textId="77777777" w:rsidR="008D57FC" w:rsidRPr="00AC0085" w:rsidRDefault="006B69FE">
            <w:pPr>
              <w:spacing w:after="0" w:line="259" w:lineRule="auto"/>
              <w:ind w:left="103" w:firstLine="0"/>
              <w:jc w:val="left"/>
              <w:rPr>
                <w:lang w:val="es-VE"/>
              </w:rPr>
            </w:pPr>
            <w:r w:rsidRPr="00AC0085">
              <w:rPr>
                <w:b/>
                <w:sz w:val="28"/>
                <w:lang w:val="es-VE"/>
              </w:rPr>
              <w:t>Tabla 1.</w:t>
            </w:r>
            <w:r w:rsidRPr="00AC0085">
              <w:rPr>
                <w:sz w:val="22"/>
                <w:lang w:val="es-VE"/>
              </w:rPr>
              <w:t xml:space="preserve"> </w:t>
            </w:r>
          </w:p>
        </w:tc>
        <w:tc>
          <w:tcPr>
            <w:tcW w:w="1934" w:type="dxa"/>
            <w:tcBorders>
              <w:top w:val="single" w:sz="4" w:space="0" w:color="000000"/>
              <w:left w:val="nil"/>
              <w:bottom w:val="single" w:sz="4" w:space="0" w:color="000000"/>
              <w:right w:val="nil"/>
            </w:tcBorders>
            <w:shd w:val="clear" w:color="auto" w:fill="BFBFBF"/>
          </w:tcPr>
          <w:p w14:paraId="25DD3341" w14:textId="77777777" w:rsidR="008D57FC" w:rsidRPr="00AC0085" w:rsidRDefault="006B69FE">
            <w:pPr>
              <w:pStyle w:val="P68B1DB1-Normal9"/>
              <w:spacing w:after="0" w:line="259" w:lineRule="auto"/>
              <w:ind w:left="0" w:firstLine="0"/>
              <w:jc w:val="left"/>
              <w:rPr>
                <w:lang w:val="es-VE"/>
              </w:rPr>
            </w:pPr>
            <w:r w:rsidRPr="00AC0085">
              <w:rPr>
                <w:lang w:val="es-VE"/>
              </w:rPr>
              <w:t xml:space="preserve"> </w:t>
            </w:r>
          </w:p>
        </w:tc>
        <w:tc>
          <w:tcPr>
            <w:tcW w:w="5985" w:type="dxa"/>
            <w:tcBorders>
              <w:top w:val="single" w:sz="4" w:space="0" w:color="000000"/>
              <w:left w:val="nil"/>
              <w:bottom w:val="single" w:sz="4" w:space="0" w:color="000000"/>
              <w:right w:val="nil"/>
            </w:tcBorders>
            <w:shd w:val="clear" w:color="auto" w:fill="BFBFBF"/>
          </w:tcPr>
          <w:p w14:paraId="7D4B4C32" w14:textId="77777777" w:rsidR="008D57FC" w:rsidRPr="00AC0085" w:rsidRDefault="006B69FE">
            <w:pPr>
              <w:pStyle w:val="P68B1DB1-Normal10"/>
              <w:spacing w:after="0" w:line="259" w:lineRule="auto"/>
              <w:ind w:left="0" w:firstLine="0"/>
              <w:jc w:val="left"/>
              <w:rPr>
                <w:lang w:val="es-VE"/>
              </w:rPr>
            </w:pPr>
            <w:r w:rsidRPr="00AC0085">
              <w:rPr>
                <w:lang w:val="es-VE"/>
              </w:rPr>
              <w:t xml:space="preserve">Funciones y responsabilidades de las entidades del HMIS </w:t>
            </w:r>
          </w:p>
        </w:tc>
      </w:tr>
    </w:tbl>
    <w:p w14:paraId="54F9AE05" w14:textId="77777777" w:rsidR="008D57FC" w:rsidRPr="00AC0085" w:rsidRDefault="006B69FE">
      <w:pPr>
        <w:pStyle w:val="P68B1DB1-Normal1"/>
        <w:spacing w:after="0" w:line="259" w:lineRule="auto"/>
        <w:ind w:left="0" w:firstLine="0"/>
        <w:rPr>
          <w:lang w:val="es-VE"/>
        </w:rPr>
      </w:pPr>
      <w:r w:rsidRPr="00AC0085">
        <w:rPr>
          <w:lang w:val="es-VE"/>
        </w:rPr>
        <w:t xml:space="preserve"> </w:t>
      </w:r>
      <w:r w:rsidRPr="00AC0085">
        <w:rPr>
          <w:lang w:val="es-VE"/>
        </w:rPr>
        <w:tab/>
        <w:t xml:space="preserve"> </w:t>
      </w:r>
      <w:r w:rsidRPr="00AC0085">
        <w:rPr>
          <w:lang w:val="es-VE"/>
        </w:rPr>
        <w:tab/>
        <w:t xml:space="preserve"> </w:t>
      </w:r>
    </w:p>
    <w:tbl>
      <w:tblPr>
        <w:tblStyle w:val="TableGrid1"/>
        <w:tblW w:w="10982" w:type="dxa"/>
        <w:tblInd w:w="-103" w:type="dxa"/>
        <w:tblCellMar>
          <w:top w:w="62" w:type="dxa"/>
          <w:left w:w="103" w:type="dxa"/>
          <w:bottom w:w="28" w:type="dxa"/>
        </w:tblCellMar>
        <w:tblLook w:val="04A0" w:firstRow="1" w:lastRow="0" w:firstColumn="1" w:lastColumn="0" w:noHBand="0" w:noVBand="1"/>
      </w:tblPr>
      <w:tblGrid>
        <w:gridCol w:w="2958"/>
        <w:gridCol w:w="1935"/>
        <w:gridCol w:w="6089"/>
      </w:tblGrid>
      <w:tr w:rsidR="008D57FC" w:rsidRPr="00AC0085" w14:paraId="5931823E" w14:textId="77777777">
        <w:trPr>
          <w:trHeight w:val="378"/>
        </w:trPr>
        <w:tc>
          <w:tcPr>
            <w:tcW w:w="2958" w:type="dxa"/>
            <w:tcBorders>
              <w:top w:val="single" w:sz="4" w:space="0" w:color="000000" w:themeColor="text1"/>
              <w:left w:val="nil"/>
              <w:bottom w:val="single" w:sz="4" w:space="0" w:color="000000" w:themeColor="text1"/>
              <w:right w:val="single" w:sz="12" w:space="0" w:color="FFFFFF" w:themeColor="background1"/>
            </w:tcBorders>
            <w:shd w:val="clear" w:color="auto" w:fill="D9D9D9" w:themeFill="background1" w:themeFillShade="D9"/>
          </w:tcPr>
          <w:p w14:paraId="46CF90E6" w14:textId="77777777" w:rsidR="008D57FC" w:rsidRPr="00AC0085" w:rsidRDefault="006B69FE">
            <w:pPr>
              <w:pStyle w:val="P68B1DB1-Normal11"/>
              <w:spacing w:after="0" w:line="259" w:lineRule="auto"/>
              <w:ind w:left="0" w:firstLine="0"/>
              <w:jc w:val="left"/>
              <w:rPr>
                <w:lang w:val="es-VE"/>
              </w:rPr>
            </w:pPr>
            <w:r w:rsidRPr="00AC0085">
              <w:rPr>
                <w:b/>
                <w:lang w:val="es-VE"/>
              </w:rPr>
              <w:t>Entidad</w:t>
            </w:r>
            <w:r w:rsidRPr="00AC0085">
              <w:rPr>
                <w:lang w:val="es-VE"/>
              </w:rPr>
              <w:t xml:space="preserve"> </w:t>
            </w:r>
          </w:p>
        </w:tc>
        <w:tc>
          <w:tcPr>
            <w:tcW w:w="1935" w:type="dxa"/>
            <w:tcBorders>
              <w:top w:val="single" w:sz="4" w:space="0" w:color="000000" w:themeColor="text1"/>
              <w:left w:val="single" w:sz="12" w:space="0" w:color="FFFFFF" w:themeColor="background1"/>
              <w:bottom w:val="single" w:sz="4" w:space="0" w:color="000000" w:themeColor="text1"/>
              <w:right w:val="single" w:sz="12" w:space="0" w:color="FFFFFF" w:themeColor="background1"/>
            </w:tcBorders>
            <w:shd w:val="clear" w:color="auto" w:fill="D9D9D9" w:themeFill="background1" w:themeFillShade="D9"/>
          </w:tcPr>
          <w:p w14:paraId="35045D86" w14:textId="027E629A" w:rsidR="008D57FC" w:rsidRPr="00AC0085" w:rsidRDefault="006B69FE">
            <w:pPr>
              <w:pStyle w:val="P68B1DB1-Normal11"/>
              <w:spacing w:after="0" w:line="259" w:lineRule="auto"/>
              <w:ind w:left="7" w:firstLine="0"/>
              <w:jc w:val="left"/>
              <w:rPr>
                <w:lang w:val="es-VE"/>
              </w:rPr>
            </w:pPr>
            <w:r w:rsidRPr="00AC0085">
              <w:rPr>
                <w:b/>
                <w:lang w:val="es-VE"/>
              </w:rPr>
              <w:t>Función</w:t>
            </w:r>
            <w:r w:rsidRPr="00AC0085">
              <w:rPr>
                <w:b/>
                <w:lang w:val="es-VE"/>
              </w:rPr>
              <w:t xml:space="preserve"> </w:t>
            </w:r>
            <w:r w:rsidRPr="00AC0085">
              <w:rPr>
                <w:lang w:val="es-VE"/>
              </w:rPr>
              <w:t xml:space="preserve"> </w:t>
            </w:r>
          </w:p>
        </w:tc>
        <w:tc>
          <w:tcPr>
            <w:tcW w:w="6089" w:type="dxa"/>
            <w:tcBorders>
              <w:top w:val="single" w:sz="4" w:space="0" w:color="000000" w:themeColor="text1"/>
              <w:left w:val="single" w:sz="12" w:space="0" w:color="FFFFFF" w:themeColor="background1"/>
              <w:bottom w:val="single" w:sz="4" w:space="0" w:color="000000" w:themeColor="text1"/>
              <w:right w:val="nil"/>
            </w:tcBorders>
            <w:shd w:val="clear" w:color="auto" w:fill="D9D9D9" w:themeFill="background1" w:themeFillShade="D9"/>
          </w:tcPr>
          <w:p w14:paraId="382C5195" w14:textId="2D24F3CF" w:rsidR="008D57FC" w:rsidRPr="00AC0085" w:rsidRDefault="006B69FE">
            <w:pPr>
              <w:pStyle w:val="P68B1DB1-Normal11"/>
              <w:spacing w:after="0" w:line="259" w:lineRule="auto"/>
              <w:ind w:left="6" w:firstLine="0"/>
              <w:jc w:val="left"/>
              <w:rPr>
                <w:lang w:val="es-VE"/>
              </w:rPr>
            </w:pPr>
            <w:r w:rsidRPr="00AC0085">
              <w:rPr>
                <w:b/>
                <w:lang w:val="es-VE"/>
              </w:rPr>
              <w:t>Responsabilidades</w:t>
            </w:r>
            <w:r w:rsidRPr="00AC0085">
              <w:rPr>
                <w:b/>
                <w:lang w:val="es-VE"/>
              </w:rPr>
              <w:t xml:space="preserve"> </w:t>
            </w:r>
            <w:r w:rsidRPr="00AC0085">
              <w:rPr>
                <w:lang w:val="es-VE"/>
              </w:rPr>
              <w:t xml:space="preserve"> </w:t>
            </w:r>
          </w:p>
        </w:tc>
      </w:tr>
      <w:tr w:rsidR="008D57FC" w:rsidRPr="00AC0085" w14:paraId="7AC4532B" w14:textId="77777777">
        <w:trPr>
          <w:trHeight w:val="379"/>
        </w:trPr>
        <w:tc>
          <w:tcPr>
            <w:tcW w:w="2958" w:type="dxa"/>
            <w:vMerge w:val="restart"/>
            <w:tcBorders>
              <w:top w:val="single" w:sz="4" w:space="0" w:color="000000" w:themeColor="text1"/>
              <w:left w:val="nil"/>
              <w:bottom w:val="single" w:sz="4" w:space="0" w:color="F2F2F2" w:themeColor="background1" w:themeShade="F2"/>
              <w:right w:val="single" w:sz="12" w:space="0" w:color="FFFFFF" w:themeColor="background1"/>
            </w:tcBorders>
            <w:shd w:val="clear" w:color="auto" w:fill="F2F2F2" w:themeFill="background1" w:themeFillShade="F2"/>
            <w:vAlign w:val="bottom"/>
          </w:tcPr>
          <w:p w14:paraId="23DD831B" w14:textId="77777777" w:rsidR="008D57FC" w:rsidRPr="00AC0085" w:rsidRDefault="006B69FE">
            <w:pPr>
              <w:pStyle w:val="P68B1DB1-Normal10"/>
              <w:spacing w:after="0" w:line="259" w:lineRule="auto"/>
              <w:ind w:left="0" w:firstLine="0"/>
              <w:jc w:val="left"/>
              <w:rPr>
                <w:lang w:val="es-VE"/>
              </w:rPr>
            </w:pPr>
            <w:r w:rsidRPr="00AC0085">
              <w:rPr>
                <w:lang w:val="es-VE"/>
              </w:rPr>
              <w:t xml:space="preserve"> </w:t>
            </w:r>
          </w:p>
        </w:tc>
        <w:tc>
          <w:tcPr>
            <w:tcW w:w="1935" w:type="dxa"/>
            <w:vMerge w:val="restart"/>
            <w:tcBorders>
              <w:top w:val="single" w:sz="4" w:space="0" w:color="000000" w:themeColor="text1"/>
              <w:left w:val="single" w:sz="12" w:space="0" w:color="FFFFFF" w:themeColor="background1"/>
              <w:bottom w:val="single" w:sz="4" w:space="0" w:color="F2F2F2" w:themeColor="background1" w:themeShade="F2"/>
              <w:right w:val="single" w:sz="4" w:space="0" w:color="FFFFFF" w:themeColor="background1"/>
            </w:tcBorders>
            <w:shd w:val="clear" w:color="auto" w:fill="F2F2F2" w:themeFill="background1" w:themeFillShade="F2"/>
            <w:vAlign w:val="bottom"/>
          </w:tcPr>
          <w:p w14:paraId="28CE8CB7" w14:textId="77777777" w:rsidR="008D57FC" w:rsidRPr="00AC0085" w:rsidRDefault="006B69FE">
            <w:pPr>
              <w:pStyle w:val="P68B1DB1-Normal10"/>
              <w:spacing w:after="0" w:line="259" w:lineRule="auto"/>
              <w:ind w:left="7" w:firstLine="0"/>
              <w:jc w:val="left"/>
              <w:rPr>
                <w:lang w:val="es-VE"/>
              </w:rPr>
            </w:pPr>
            <w:r w:rsidRPr="00AC0085">
              <w:rPr>
                <w:lang w:val="es-VE"/>
              </w:rPr>
              <w:t xml:space="preserve"> </w:t>
            </w:r>
          </w:p>
        </w:tc>
        <w:tc>
          <w:tcPr>
            <w:tcW w:w="608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4947DD5" w14:textId="77777777" w:rsidR="008D57FC" w:rsidRPr="00AC0085" w:rsidRDefault="006B69FE">
            <w:pPr>
              <w:pStyle w:val="P68B1DB1-Normal11"/>
              <w:spacing w:after="0" w:line="259" w:lineRule="auto"/>
              <w:ind w:left="361" w:firstLine="0"/>
              <w:jc w:val="left"/>
              <w:rPr>
                <w:lang w:val="es-VE"/>
              </w:rPr>
            </w:pPr>
            <w:r w:rsidRPr="00AC0085">
              <w:rPr>
                <w:rFonts w:ascii="Arial" w:hAnsi="Wingdings"/>
                <w:lang w:val="es-VE"/>
              </w:rPr>
              <w:t></w:t>
            </w:r>
            <w:r w:rsidRPr="00AC0085">
              <w:rPr>
                <w:rFonts w:ascii="Arial" w:hAnsi="Wingdings"/>
                <w:lang w:val="es-VE"/>
              </w:rPr>
              <w:t xml:space="preserve"> </w:t>
            </w:r>
            <w:r w:rsidRPr="00AC0085">
              <w:rPr>
                <w:lang w:val="es-VE"/>
              </w:rPr>
              <w:t xml:space="preserve">Servir como administrador del sistema HMIS </w:t>
            </w:r>
          </w:p>
        </w:tc>
      </w:tr>
      <w:tr w:rsidR="008D57FC" w:rsidRPr="00AC0085" w14:paraId="5F365708" w14:textId="77777777">
        <w:trPr>
          <w:trHeight w:val="1116"/>
        </w:trPr>
        <w:tc>
          <w:tcPr>
            <w:tcW w:w="0" w:type="auto"/>
            <w:vMerge/>
          </w:tcPr>
          <w:p w14:paraId="5DAB6C7B" w14:textId="77777777" w:rsidR="008D57FC" w:rsidRPr="00AC0085" w:rsidRDefault="008D57FC">
            <w:pPr>
              <w:spacing w:after="0" w:line="259" w:lineRule="auto"/>
              <w:ind w:left="0" w:firstLine="0"/>
              <w:jc w:val="left"/>
              <w:rPr>
                <w:lang w:val="es-VE"/>
              </w:rPr>
            </w:pPr>
          </w:p>
        </w:tc>
        <w:tc>
          <w:tcPr>
            <w:tcW w:w="0" w:type="auto"/>
            <w:vMerge/>
          </w:tcPr>
          <w:p w14:paraId="02EB378F" w14:textId="77777777" w:rsidR="008D57FC" w:rsidRPr="00AC0085" w:rsidRDefault="008D57FC">
            <w:pPr>
              <w:spacing w:after="0" w:line="259" w:lineRule="auto"/>
              <w:ind w:left="0" w:firstLine="0"/>
              <w:jc w:val="left"/>
              <w:rPr>
                <w:lang w:val="es-VE"/>
              </w:rPr>
            </w:pPr>
          </w:p>
        </w:tc>
        <w:tc>
          <w:tcPr>
            <w:tcW w:w="6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D22482C" w14:textId="77777777" w:rsidR="008D57FC" w:rsidRPr="00AC0085" w:rsidRDefault="006B69FE">
            <w:pPr>
              <w:pStyle w:val="P68B1DB1-Normal11"/>
              <w:spacing w:after="0" w:line="240" w:lineRule="auto"/>
              <w:ind w:left="721" w:hanging="360"/>
              <w:jc w:val="left"/>
              <w:rPr>
                <w:lang w:val="es-VE"/>
              </w:rPr>
            </w:pPr>
            <w:r w:rsidRPr="00AC0085">
              <w:rPr>
                <w:rFonts w:ascii="Arial" w:hAnsi="Wingdings"/>
                <w:lang w:val="es-VE"/>
              </w:rPr>
              <w:t></w:t>
            </w:r>
            <w:r w:rsidRPr="00AC0085">
              <w:rPr>
                <w:rFonts w:ascii="Arial" w:hAnsi="Wingdings"/>
                <w:lang w:val="es-VE"/>
              </w:rPr>
              <w:t xml:space="preserve"> </w:t>
            </w:r>
            <w:r w:rsidRPr="00AC0085">
              <w:rPr>
                <w:lang w:val="es-VE"/>
              </w:rPr>
              <w:t xml:space="preserve">Contratar con el proveedor del HMIS y asegurar que el HMIS cumpla con los estándares técnicos y de informes del HUD </w:t>
            </w:r>
          </w:p>
        </w:tc>
      </w:tr>
      <w:tr w:rsidR="008D57FC" w:rsidRPr="00AC0085" w14:paraId="42344E92" w14:textId="77777777">
        <w:trPr>
          <w:trHeight w:val="1116"/>
        </w:trPr>
        <w:tc>
          <w:tcPr>
            <w:tcW w:w="0" w:type="auto"/>
            <w:vMerge/>
          </w:tcPr>
          <w:p w14:paraId="6A05A809" w14:textId="77777777" w:rsidR="008D57FC" w:rsidRPr="00AC0085" w:rsidRDefault="008D57FC">
            <w:pPr>
              <w:spacing w:after="0" w:line="259" w:lineRule="auto"/>
              <w:ind w:left="0" w:firstLine="0"/>
              <w:jc w:val="left"/>
              <w:rPr>
                <w:lang w:val="es-VE"/>
              </w:rPr>
            </w:pPr>
          </w:p>
        </w:tc>
        <w:tc>
          <w:tcPr>
            <w:tcW w:w="0" w:type="auto"/>
            <w:vMerge/>
          </w:tcPr>
          <w:p w14:paraId="5A39BBE3" w14:textId="77777777" w:rsidR="008D57FC" w:rsidRPr="00AC0085" w:rsidRDefault="008D57FC">
            <w:pPr>
              <w:spacing w:after="0" w:line="259" w:lineRule="auto"/>
              <w:ind w:left="0" w:firstLine="0"/>
              <w:jc w:val="left"/>
              <w:rPr>
                <w:lang w:val="es-VE"/>
              </w:rPr>
            </w:pPr>
          </w:p>
        </w:tc>
        <w:tc>
          <w:tcPr>
            <w:tcW w:w="6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E6DD78B" w14:textId="77777777" w:rsidR="008D57FC" w:rsidRPr="00AC0085" w:rsidRDefault="006B69FE">
            <w:pPr>
              <w:pStyle w:val="P68B1DB1-Normal11"/>
              <w:spacing w:after="0" w:line="240" w:lineRule="auto"/>
              <w:ind w:left="721" w:hanging="360"/>
              <w:jc w:val="left"/>
              <w:rPr>
                <w:lang w:val="es-VE"/>
              </w:rPr>
            </w:pPr>
            <w:r w:rsidRPr="00AC0085">
              <w:rPr>
                <w:rFonts w:ascii="Arial" w:hAnsi="Wingdings"/>
                <w:lang w:val="es-VE"/>
              </w:rPr>
              <w:t></w:t>
            </w:r>
            <w:r w:rsidRPr="00AC0085">
              <w:rPr>
                <w:rFonts w:ascii="Arial" w:hAnsi="Wingdings"/>
                <w:lang w:val="es-VE"/>
              </w:rPr>
              <w:t xml:space="preserve"> </w:t>
            </w:r>
            <w:r w:rsidRPr="00AC0085">
              <w:rPr>
                <w:lang w:val="es-VE"/>
              </w:rPr>
              <w:t xml:space="preserve">Proporcionar la plataforma del HMIS a los proveedores de CoC y ejecutar acuerdos de participación de proveedores </w:t>
            </w:r>
          </w:p>
        </w:tc>
      </w:tr>
      <w:tr w:rsidR="008D57FC" w:rsidRPr="00AC0085" w14:paraId="4E01BB7C" w14:textId="77777777">
        <w:trPr>
          <w:trHeight w:val="380"/>
        </w:trPr>
        <w:tc>
          <w:tcPr>
            <w:tcW w:w="2958" w:type="dxa"/>
            <w:vMerge w:val="restart"/>
            <w:tcBorders>
              <w:top w:val="single" w:sz="4"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bottom"/>
          </w:tcPr>
          <w:p w14:paraId="1B51DF6F" w14:textId="39C694F2" w:rsidR="008D57FC" w:rsidRPr="00AC0085" w:rsidRDefault="006B69FE" w:rsidP="001A3501">
            <w:pPr>
              <w:pStyle w:val="P68B1DB1-Normal10"/>
              <w:spacing w:after="0" w:line="259" w:lineRule="auto"/>
              <w:ind w:left="5" w:firstLine="0"/>
              <w:jc w:val="left"/>
              <w:rPr>
                <w:lang w:val="es-VE"/>
              </w:rPr>
            </w:pPr>
            <w:r w:rsidRPr="00AC0085">
              <w:rPr>
                <w:lang w:val="es-VE"/>
              </w:rPr>
              <w:t>Líder del HMIS (Community</w:t>
            </w:r>
            <w:r w:rsidR="001A3501">
              <w:rPr>
                <w:lang w:val="es-VE"/>
              </w:rPr>
              <w:t xml:space="preserve"> </w:t>
            </w:r>
            <w:r w:rsidRPr="00AC0085">
              <w:rPr>
                <w:lang w:val="es-VE"/>
              </w:rPr>
              <w:t xml:space="preserve">Action Pioneer Valley) </w:t>
            </w:r>
          </w:p>
        </w:tc>
        <w:tc>
          <w:tcPr>
            <w:tcW w:w="1935" w:type="dxa"/>
            <w:vMerge w:val="restart"/>
            <w:tcBorders>
              <w:top w:val="single" w:sz="4" w:space="0" w:color="F2F2F2" w:themeColor="background1" w:themeShade="F2"/>
              <w:left w:val="single" w:sz="12" w:space="0" w:color="FFFFFF" w:themeColor="background1"/>
              <w:bottom w:val="single" w:sz="4" w:space="0" w:color="F2F2F2" w:themeColor="background1" w:themeShade="F2"/>
              <w:right w:val="single" w:sz="4" w:space="0" w:color="FFFFFF" w:themeColor="background1"/>
            </w:tcBorders>
            <w:shd w:val="clear" w:color="auto" w:fill="F2F2F2" w:themeFill="background1" w:themeFillShade="F2"/>
            <w:vAlign w:val="bottom"/>
          </w:tcPr>
          <w:p w14:paraId="23CCE163" w14:textId="77777777" w:rsidR="008D57FC" w:rsidRPr="00AC0085" w:rsidRDefault="006B69FE" w:rsidP="001A3501">
            <w:pPr>
              <w:pStyle w:val="P68B1DB1-Normal11"/>
              <w:spacing w:after="0" w:line="259" w:lineRule="auto"/>
              <w:ind w:left="2" w:firstLine="0"/>
              <w:jc w:val="left"/>
              <w:rPr>
                <w:lang w:val="es-VE"/>
              </w:rPr>
            </w:pPr>
            <w:r w:rsidRPr="00AC0085">
              <w:rPr>
                <w:lang w:val="es-VE"/>
              </w:rPr>
              <w:t>A</w:t>
            </w:r>
            <w:r w:rsidRPr="00AC0085">
              <w:rPr>
                <w:lang w:val="es-VE"/>
              </w:rPr>
              <w:t xml:space="preserve">dministración, </w:t>
            </w:r>
          </w:p>
          <w:p w14:paraId="275CE567" w14:textId="111FFD1B" w:rsidR="008D57FC" w:rsidRPr="00AC0085" w:rsidRDefault="006B69FE" w:rsidP="001A3501">
            <w:pPr>
              <w:pStyle w:val="P68B1DB1-Normal11"/>
              <w:spacing w:after="0" w:line="259" w:lineRule="auto"/>
              <w:ind w:left="2" w:firstLine="0"/>
              <w:jc w:val="left"/>
              <w:rPr>
                <w:lang w:val="es-VE"/>
              </w:rPr>
            </w:pPr>
            <w:r w:rsidRPr="00AC0085">
              <w:rPr>
                <w:lang w:val="es-VE"/>
              </w:rPr>
              <w:t>TA y</w:t>
            </w:r>
            <w:r w:rsidR="001A3501">
              <w:rPr>
                <w:lang w:val="es-VE"/>
              </w:rPr>
              <w:t xml:space="preserve"> </w:t>
            </w:r>
            <w:r w:rsidRPr="00AC0085">
              <w:rPr>
                <w:lang w:val="es-VE"/>
              </w:rPr>
              <w:t>elaboración de informes</w:t>
            </w:r>
          </w:p>
        </w:tc>
        <w:tc>
          <w:tcPr>
            <w:tcW w:w="6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5B2142C" w14:textId="5D3FA873" w:rsidR="008D57FC" w:rsidRPr="00AC0085" w:rsidRDefault="006B69FE" w:rsidP="00732276">
            <w:pPr>
              <w:pStyle w:val="P68B1DB1-Normal11"/>
              <w:numPr>
                <w:ilvl w:val="0"/>
                <w:numId w:val="8"/>
              </w:numPr>
              <w:spacing w:after="0" w:line="240" w:lineRule="auto"/>
              <w:ind w:right="121" w:hanging="83"/>
              <w:rPr>
                <w:lang w:val="es-VE"/>
              </w:rPr>
            </w:pPr>
            <w:r w:rsidRPr="00AC0085">
              <w:rPr>
                <w:lang w:val="es-VE"/>
              </w:rPr>
              <w:t xml:space="preserve">Llevar a cabo reuniones de gerentes de sitio </w:t>
            </w:r>
            <w:r w:rsidR="00732276">
              <w:rPr>
                <w:lang w:val="es-VE"/>
              </w:rPr>
              <w:tab/>
            </w:r>
            <w:r w:rsidRPr="00AC0085">
              <w:rPr>
                <w:lang w:val="es-VE"/>
              </w:rPr>
              <w:t>en</w:t>
            </w:r>
            <w:r w:rsidR="00732276">
              <w:rPr>
                <w:lang w:val="es-VE"/>
              </w:rPr>
              <w:t xml:space="preserve"> </w:t>
            </w:r>
            <w:r w:rsidRPr="00AC0085">
              <w:rPr>
                <w:lang w:val="es-VE"/>
              </w:rPr>
              <w:t xml:space="preserve">todo CoC </w:t>
            </w:r>
          </w:p>
        </w:tc>
      </w:tr>
      <w:tr w:rsidR="008D57FC" w:rsidRPr="00AC0085" w14:paraId="37923755" w14:textId="77777777">
        <w:trPr>
          <w:trHeight w:val="1117"/>
        </w:trPr>
        <w:tc>
          <w:tcPr>
            <w:tcW w:w="0" w:type="auto"/>
            <w:vMerge/>
          </w:tcPr>
          <w:p w14:paraId="41C8F396" w14:textId="77777777" w:rsidR="008D57FC" w:rsidRPr="00AC0085" w:rsidRDefault="008D57FC">
            <w:pPr>
              <w:spacing w:after="0" w:line="259" w:lineRule="auto"/>
              <w:ind w:left="0" w:firstLine="0"/>
              <w:jc w:val="left"/>
              <w:rPr>
                <w:lang w:val="es-VE"/>
              </w:rPr>
            </w:pPr>
          </w:p>
        </w:tc>
        <w:tc>
          <w:tcPr>
            <w:tcW w:w="0" w:type="auto"/>
            <w:vMerge/>
          </w:tcPr>
          <w:p w14:paraId="72A3D3EC" w14:textId="77777777" w:rsidR="008D57FC" w:rsidRPr="00AC0085" w:rsidRDefault="008D57FC">
            <w:pPr>
              <w:spacing w:after="0" w:line="259" w:lineRule="auto"/>
              <w:ind w:left="0" w:firstLine="0"/>
              <w:jc w:val="left"/>
              <w:rPr>
                <w:lang w:val="es-VE"/>
              </w:rPr>
            </w:pPr>
          </w:p>
        </w:tc>
        <w:tc>
          <w:tcPr>
            <w:tcW w:w="6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C80762D" w14:textId="77777777" w:rsidR="008D57FC" w:rsidRPr="00AC0085" w:rsidRDefault="006B69FE">
            <w:pPr>
              <w:pStyle w:val="P68B1DB1-Normal11"/>
              <w:spacing w:after="0" w:line="240" w:lineRule="auto"/>
              <w:ind w:left="721" w:hanging="360"/>
              <w:jc w:val="left"/>
              <w:rPr>
                <w:lang w:val="es-VE"/>
              </w:rPr>
            </w:pPr>
            <w:r w:rsidRPr="00AC0085">
              <w:rPr>
                <w:rFonts w:ascii="Arial" w:hAnsi="Wingdings"/>
                <w:lang w:val="es-VE"/>
              </w:rPr>
              <w:t></w:t>
            </w:r>
            <w:r w:rsidRPr="00AC0085">
              <w:rPr>
                <w:rFonts w:ascii="Arial" w:hAnsi="Wingdings"/>
                <w:lang w:val="es-VE"/>
              </w:rPr>
              <w:t xml:space="preserve"> </w:t>
            </w:r>
            <w:r w:rsidRPr="00AC0085">
              <w:rPr>
                <w:lang w:val="es-VE"/>
              </w:rPr>
              <w:t xml:space="preserve">Servir como administrador de subvenciones del HMIS y contratar con el HUD para recibir fondos del HMIS como beneficiario de subvención del HMIS </w:t>
            </w:r>
          </w:p>
        </w:tc>
      </w:tr>
      <w:tr w:rsidR="008D57FC" w:rsidRPr="00AC0085" w14:paraId="1F732903" w14:textId="77777777">
        <w:trPr>
          <w:trHeight w:val="378"/>
        </w:trPr>
        <w:tc>
          <w:tcPr>
            <w:tcW w:w="0" w:type="auto"/>
            <w:vMerge/>
          </w:tcPr>
          <w:p w14:paraId="0D0B940D" w14:textId="77777777" w:rsidR="008D57FC" w:rsidRPr="00AC0085" w:rsidRDefault="008D57FC">
            <w:pPr>
              <w:spacing w:after="0" w:line="259" w:lineRule="auto"/>
              <w:ind w:left="0" w:firstLine="0"/>
              <w:jc w:val="left"/>
              <w:rPr>
                <w:lang w:val="es-VE"/>
              </w:rPr>
            </w:pPr>
          </w:p>
        </w:tc>
        <w:tc>
          <w:tcPr>
            <w:tcW w:w="0" w:type="auto"/>
            <w:vMerge/>
          </w:tcPr>
          <w:p w14:paraId="0E27B00A" w14:textId="77777777" w:rsidR="008D57FC" w:rsidRPr="00AC0085" w:rsidRDefault="008D57FC">
            <w:pPr>
              <w:spacing w:after="0" w:line="259" w:lineRule="auto"/>
              <w:ind w:left="0" w:firstLine="0"/>
              <w:jc w:val="left"/>
              <w:rPr>
                <w:lang w:val="es-VE"/>
              </w:rPr>
            </w:pPr>
          </w:p>
        </w:tc>
        <w:tc>
          <w:tcPr>
            <w:tcW w:w="6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EC5B323" w14:textId="77777777" w:rsidR="008D57FC" w:rsidRPr="00AC0085" w:rsidRDefault="006B69FE">
            <w:pPr>
              <w:pStyle w:val="P68B1DB1-Normal11"/>
              <w:spacing w:after="0" w:line="240" w:lineRule="auto"/>
              <w:ind w:left="361" w:firstLine="0"/>
              <w:jc w:val="left"/>
              <w:rPr>
                <w:lang w:val="es-VE"/>
              </w:rPr>
            </w:pPr>
            <w:r w:rsidRPr="00AC0085">
              <w:rPr>
                <w:rFonts w:ascii="Arial" w:hAnsi="Wingdings"/>
                <w:lang w:val="es-VE"/>
              </w:rPr>
              <w:t></w:t>
            </w:r>
            <w:r w:rsidRPr="00AC0085">
              <w:rPr>
                <w:lang w:val="es-VE"/>
              </w:rPr>
              <w:t xml:space="preserve">Informe de CoC requerido por el HUD </w:t>
            </w:r>
          </w:p>
        </w:tc>
      </w:tr>
      <w:tr w:rsidR="008D57FC" w:rsidRPr="00AC0085" w14:paraId="7052A726" w14:textId="77777777">
        <w:trPr>
          <w:trHeight w:val="1117"/>
        </w:trPr>
        <w:tc>
          <w:tcPr>
            <w:tcW w:w="2958" w:type="dxa"/>
            <w:vMerge w:val="restart"/>
            <w:tcBorders>
              <w:top w:val="single" w:sz="4" w:space="0" w:color="F2F2F2" w:themeColor="background1" w:themeShade="F2"/>
              <w:left w:val="nil"/>
              <w:bottom w:val="single" w:sz="4" w:space="0" w:color="F2F2F2" w:themeColor="background1" w:themeShade="F2"/>
              <w:right w:val="single" w:sz="12" w:space="0" w:color="FFFFFF" w:themeColor="background1"/>
            </w:tcBorders>
            <w:shd w:val="clear" w:color="auto" w:fill="F2F2F2" w:themeFill="background1" w:themeFillShade="F2"/>
            <w:vAlign w:val="bottom"/>
          </w:tcPr>
          <w:p w14:paraId="1895D3B7" w14:textId="77777777" w:rsidR="008D57FC" w:rsidRPr="00AC0085" w:rsidRDefault="006B69FE">
            <w:pPr>
              <w:pStyle w:val="P68B1DB1-Normal10"/>
              <w:spacing w:after="0" w:line="259" w:lineRule="auto"/>
              <w:ind w:left="0" w:firstLine="0"/>
              <w:jc w:val="left"/>
              <w:rPr>
                <w:lang w:val="es-VE"/>
              </w:rPr>
            </w:pPr>
            <w:r w:rsidRPr="00AC0085">
              <w:rPr>
                <w:lang w:val="es-VE"/>
              </w:rPr>
              <w:t xml:space="preserve"> </w:t>
            </w:r>
          </w:p>
        </w:tc>
        <w:tc>
          <w:tcPr>
            <w:tcW w:w="1935" w:type="dxa"/>
            <w:vMerge w:val="restart"/>
            <w:tcBorders>
              <w:top w:val="single" w:sz="4" w:space="0" w:color="F2F2F2" w:themeColor="background1" w:themeShade="F2"/>
              <w:left w:val="single" w:sz="12" w:space="0" w:color="FFFFFF" w:themeColor="background1"/>
              <w:bottom w:val="single" w:sz="4" w:space="0" w:color="F2F2F2" w:themeColor="background1" w:themeShade="F2"/>
              <w:right w:val="single" w:sz="4" w:space="0" w:color="FFFFFF" w:themeColor="background1"/>
            </w:tcBorders>
            <w:shd w:val="clear" w:color="auto" w:fill="F2F2F2" w:themeFill="background1" w:themeFillShade="F2"/>
            <w:vAlign w:val="bottom"/>
          </w:tcPr>
          <w:p w14:paraId="7FDE0BDC" w14:textId="77777777" w:rsidR="008D57FC" w:rsidRPr="00AC0085" w:rsidRDefault="006B69FE">
            <w:pPr>
              <w:pStyle w:val="P68B1DB1-Normal10"/>
              <w:spacing w:after="0" w:line="259" w:lineRule="auto"/>
              <w:ind w:left="7" w:firstLine="0"/>
              <w:jc w:val="left"/>
              <w:rPr>
                <w:lang w:val="es-VE"/>
              </w:rPr>
            </w:pPr>
            <w:r w:rsidRPr="00AC0085">
              <w:rPr>
                <w:lang w:val="es-VE"/>
              </w:rPr>
              <w:t xml:space="preserve"> </w:t>
            </w:r>
          </w:p>
        </w:tc>
        <w:tc>
          <w:tcPr>
            <w:tcW w:w="6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7D0BA3D" w14:textId="6B873DB7" w:rsidR="008D57FC" w:rsidRPr="00AC0085" w:rsidRDefault="006B69FE">
            <w:pPr>
              <w:pStyle w:val="P68B1DB1-Normal11"/>
              <w:spacing w:after="0" w:line="240" w:lineRule="auto"/>
              <w:ind w:left="721" w:hanging="360"/>
              <w:jc w:val="left"/>
              <w:rPr>
                <w:lang w:val="es-VE"/>
              </w:rPr>
            </w:pPr>
            <w:r w:rsidRPr="00AC0085">
              <w:rPr>
                <w:rFonts w:ascii="Arial" w:hAnsi="Wingdings"/>
                <w:lang w:val="es-VE"/>
              </w:rPr>
              <w:t></w:t>
            </w:r>
            <w:r w:rsidRPr="00AC0085">
              <w:rPr>
                <w:rFonts w:ascii="Arial" w:hAnsi="Wingdings"/>
                <w:lang w:val="es-VE"/>
              </w:rPr>
              <w:t xml:space="preserve"> </w:t>
            </w:r>
            <w:r w:rsidRPr="00AC0085">
              <w:rPr>
                <w:lang w:val="es-VE"/>
              </w:rPr>
              <w:t>Informes personalizados y análisis de datos para evaluar el desempeño de CoC e identificar áreas de mejora, con un enfoque específico en la equidad y la equidad racial en particular.</w:t>
            </w:r>
          </w:p>
        </w:tc>
      </w:tr>
      <w:tr w:rsidR="008D57FC" w:rsidRPr="00AC0085" w14:paraId="50FFE99C" w14:textId="77777777">
        <w:trPr>
          <w:trHeight w:val="748"/>
        </w:trPr>
        <w:tc>
          <w:tcPr>
            <w:tcW w:w="0" w:type="auto"/>
            <w:vMerge/>
          </w:tcPr>
          <w:p w14:paraId="60061E4C" w14:textId="77777777" w:rsidR="008D57FC" w:rsidRPr="00AC0085" w:rsidRDefault="008D57FC">
            <w:pPr>
              <w:spacing w:after="0" w:line="259" w:lineRule="auto"/>
              <w:ind w:left="0" w:firstLine="0"/>
              <w:jc w:val="left"/>
              <w:rPr>
                <w:lang w:val="es-VE"/>
              </w:rPr>
            </w:pPr>
          </w:p>
        </w:tc>
        <w:tc>
          <w:tcPr>
            <w:tcW w:w="0" w:type="auto"/>
            <w:vMerge/>
          </w:tcPr>
          <w:p w14:paraId="44EAFD9C" w14:textId="77777777" w:rsidR="008D57FC" w:rsidRPr="00AC0085" w:rsidRDefault="008D57FC">
            <w:pPr>
              <w:spacing w:after="0" w:line="259" w:lineRule="auto"/>
              <w:ind w:left="0" w:firstLine="0"/>
              <w:jc w:val="left"/>
              <w:rPr>
                <w:lang w:val="es-VE"/>
              </w:rPr>
            </w:pPr>
          </w:p>
        </w:tc>
        <w:tc>
          <w:tcPr>
            <w:tcW w:w="6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AF9E84" w14:textId="77777777" w:rsidR="008D57FC" w:rsidRPr="00AC0085" w:rsidRDefault="006B69FE">
            <w:pPr>
              <w:pStyle w:val="P68B1DB1-Normal11"/>
              <w:spacing w:after="0" w:line="240" w:lineRule="auto"/>
              <w:ind w:left="721" w:right="43" w:hanging="360"/>
              <w:jc w:val="left"/>
              <w:rPr>
                <w:lang w:val="es-VE"/>
              </w:rPr>
            </w:pPr>
            <w:r w:rsidRPr="00AC0085">
              <w:rPr>
                <w:rFonts w:ascii="Arial" w:hAnsi="Wingdings"/>
                <w:lang w:val="es-VE"/>
              </w:rPr>
              <w:t></w:t>
            </w:r>
            <w:r w:rsidRPr="00AC0085">
              <w:rPr>
                <w:rFonts w:ascii="Arial" w:hAnsi="Wingdings"/>
                <w:lang w:val="es-VE"/>
              </w:rPr>
              <w:t xml:space="preserve"> </w:t>
            </w:r>
            <w:r w:rsidRPr="00AC0085">
              <w:rPr>
                <w:lang w:val="es-VE"/>
              </w:rPr>
              <w:t xml:space="preserve">Informes personalizados según lo solicitado por la comunidad </w:t>
            </w:r>
          </w:p>
        </w:tc>
      </w:tr>
      <w:tr w:rsidR="008D57FC" w:rsidRPr="00AC0085" w14:paraId="1169D7BA" w14:textId="77777777">
        <w:trPr>
          <w:trHeight w:val="379"/>
        </w:trPr>
        <w:tc>
          <w:tcPr>
            <w:tcW w:w="0" w:type="auto"/>
            <w:vMerge/>
          </w:tcPr>
          <w:p w14:paraId="4B94D5A5" w14:textId="77777777" w:rsidR="008D57FC" w:rsidRPr="00AC0085" w:rsidRDefault="008D57FC">
            <w:pPr>
              <w:spacing w:after="0" w:line="259" w:lineRule="auto"/>
              <w:ind w:left="0" w:firstLine="0"/>
              <w:jc w:val="left"/>
              <w:rPr>
                <w:lang w:val="es-VE"/>
              </w:rPr>
            </w:pPr>
          </w:p>
        </w:tc>
        <w:tc>
          <w:tcPr>
            <w:tcW w:w="0" w:type="auto"/>
            <w:vMerge/>
          </w:tcPr>
          <w:p w14:paraId="3DEEC669" w14:textId="77777777" w:rsidR="008D57FC" w:rsidRPr="00AC0085" w:rsidRDefault="008D57FC">
            <w:pPr>
              <w:spacing w:after="0" w:line="259" w:lineRule="auto"/>
              <w:ind w:left="0" w:firstLine="0"/>
              <w:jc w:val="left"/>
              <w:rPr>
                <w:lang w:val="es-VE"/>
              </w:rPr>
            </w:pPr>
          </w:p>
        </w:tc>
        <w:tc>
          <w:tcPr>
            <w:tcW w:w="6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1A2C0D" w14:textId="77777777" w:rsidR="008D57FC" w:rsidRPr="00AC0085" w:rsidRDefault="006B69FE">
            <w:pPr>
              <w:pStyle w:val="P68B1DB1-Normal11"/>
              <w:spacing w:after="0" w:line="240" w:lineRule="auto"/>
              <w:ind w:left="361" w:firstLine="0"/>
              <w:jc w:val="left"/>
              <w:rPr>
                <w:lang w:val="es-VE"/>
              </w:rPr>
            </w:pPr>
            <w:r w:rsidRPr="00AC0085">
              <w:rPr>
                <w:rFonts w:ascii="Arial" w:hAnsi="Wingdings"/>
                <w:lang w:val="es-VE"/>
              </w:rPr>
              <w:t></w:t>
            </w:r>
            <w:r w:rsidRPr="00AC0085">
              <w:rPr>
                <w:rFonts w:ascii="Arial" w:hAnsi="Wingdings"/>
                <w:lang w:val="es-VE"/>
              </w:rPr>
              <w:t xml:space="preserve"> </w:t>
            </w:r>
            <w:r w:rsidRPr="00AC0085">
              <w:rPr>
                <w:lang w:val="es-VE"/>
              </w:rPr>
              <w:t xml:space="preserve">Asistencia técnica del HMIS para proveedores </w:t>
            </w:r>
          </w:p>
        </w:tc>
      </w:tr>
      <w:tr w:rsidR="008D57FC" w:rsidRPr="00AC0085" w14:paraId="0D581FD6" w14:textId="77777777">
        <w:trPr>
          <w:trHeight w:val="3332"/>
        </w:trPr>
        <w:tc>
          <w:tcPr>
            <w:tcW w:w="0" w:type="auto"/>
            <w:vMerge/>
          </w:tcPr>
          <w:p w14:paraId="3656B9AB" w14:textId="77777777" w:rsidR="008D57FC" w:rsidRPr="00AC0085" w:rsidRDefault="008D57FC">
            <w:pPr>
              <w:spacing w:after="160" w:line="259" w:lineRule="auto"/>
              <w:ind w:left="0" w:firstLine="0"/>
              <w:jc w:val="left"/>
              <w:rPr>
                <w:lang w:val="es-VE"/>
              </w:rPr>
            </w:pPr>
          </w:p>
        </w:tc>
        <w:tc>
          <w:tcPr>
            <w:tcW w:w="0" w:type="auto"/>
            <w:vMerge/>
          </w:tcPr>
          <w:p w14:paraId="45FB0818" w14:textId="77777777" w:rsidR="008D57FC" w:rsidRPr="00AC0085" w:rsidRDefault="008D57FC">
            <w:pPr>
              <w:spacing w:after="160" w:line="259" w:lineRule="auto"/>
              <w:ind w:left="0" w:firstLine="0"/>
              <w:jc w:val="left"/>
              <w:rPr>
                <w:lang w:val="es-VE"/>
              </w:rPr>
            </w:pPr>
          </w:p>
        </w:tc>
        <w:tc>
          <w:tcPr>
            <w:tcW w:w="6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549FB25" w14:textId="77777777" w:rsidR="008D57FC" w:rsidRPr="00AC0085" w:rsidRDefault="006B69FE">
            <w:pPr>
              <w:pStyle w:val="P68B1DB1-Normal11"/>
              <w:spacing w:after="43" w:line="259" w:lineRule="auto"/>
              <w:ind w:left="721" w:right="57" w:hanging="360"/>
              <w:jc w:val="left"/>
              <w:rPr>
                <w:lang w:val="es-VE"/>
              </w:rPr>
            </w:pPr>
            <w:r w:rsidRPr="00AC0085">
              <w:rPr>
                <w:rFonts w:ascii="Arial" w:hAnsi="Wingdings"/>
                <w:lang w:val="es-VE"/>
              </w:rPr>
              <w:t></w:t>
            </w:r>
            <w:r w:rsidRPr="00AC0085">
              <w:rPr>
                <w:rFonts w:ascii="Arial" w:hAnsi="Wingdings"/>
                <w:lang w:val="es-VE"/>
              </w:rPr>
              <w:t xml:space="preserve"> </w:t>
            </w:r>
            <w:r w:rsidRPr="00AC0085">
              <w:rPr>
                <w:lang w:val="es-VE"/>
              </w:rPr>
              <w:t xml:space="preserve">Revisar, actualizar y mantener las políticas de recopilación de datos, informes y privacidad al menos una vez al año y enviarlas a la Junta de CoC y a los miembros para su aprobación. Esto incluye, pero no se limita a: </w:t>
            </w:r>
          </w:p>
          <w:p w14:paraId="1F817679" w14:textId="00AC3546" w:rsidR="008D57FC" w:rsidRPr="00AC0085" w:rsidRDefault="006B69FE">
            <w:pPr>
              <w:pStyle w:val="P68B1DB1-Normal11"/>
              <w:numPr>
                <w:ilvl w:val="0"/>
                <w:numId w:val="4"/>
              </w:numPr>
              <w:spacing w:after="40" w:line="259" w:lineRule="auto"/>
              <w:ind w:hanging="360"/>
              <w:jc w:val="left"/>
              <w:rPr>
                <w:lang w:val="es-VE"/>
              </w:rPr>
            </w:pPr>
            <w:r w:rsidRPr="00AC0085">
              <w:rPr>
                <w:lang w:val="es-VE"/>
              </w:rPr>
              <w:t>Plan de privacidad y seguridad del H</w:t>
            </w:r>
            <w:r w:rsidRPr="00AC0085">
              <w:rPr>
                <w:lang w:val="es-VE"/>
              </w:rPr>
              <w:t xml:space="preserve">MIS </w:t>
            </w:r>
          </w:p>
          <w:p w14:paraId="21BBE7CD" w14:textId="77777777" w:rsidR="008D57FC" w:rsidRPr="00AC0085" w:rsidRDefault="006B69FE">
            <w:pPr>
              <w:pStyle w:val="P68B1DB1-Normal11"/>
              <w:numPr>
                <w:ilvl w:val="0"/>
                <w:numId w:val="4"/>
              </w:numPr>
              <w:spacing w:after="42" w:line="259" w:lineRule="auto"/>
              <w:ind w:hanging="360"/>
              <w:jc w:val="left"/>
              <w:rPr>
                <w:lang w:val="es-VE"/>
              </w:rPr>
            </w:pPr>
            <w:r w:rsidRPr="00AC0085">
              <w:rPr>
                <w:lang w:val="es-VE"/>
              </w:rPr>
              <w:t xml:space="preserve">Acta Constitutiva del HMIS </w:t>
            </w:r>
          </w:p>
          <w:p w14:paraId="0061FB9E" w14:textId="77777777" w:rsidR="008D57FC" w:rsidRPr="00AC0085" w:rsidRDefault="006B69FE">
            <w:pPr>
              <w:pStyle w:val="P68B1DB1-Normal11"/>
              <w:numPr>
                <w:ilvl w:val="0"/>
                <w:numId w:val="4"/>
              </w:numPr>
              <w:spacing w:after="0" w:line="259" w:lineRule="auto"/>
              <w:ind w:hanging="360"/>
              <w:jc w:val="left"/>
              <w:rPr>
                <w:lang w:val="es-VE"/>
              </w:rPr>
            </w:pPr>
            <w:r w:rsidRPr="00AC0085">
              <w:rPr>
                <w:lang w:val="es-VE"/>
              </w:rPr>
              <w:t xml:space="preserve">Plan de calidad de datos </w:t>
            </w:r>
          </w:p>
        </w:tc>
      </w:tr>
    </w:tbl>
    <w:p w14:paraId="049F31CB" w14:textId="77777777" w:rsidR="008D57FC" w:rsidRPr="00AC0085" w:rsidRDefault="008D57FC">
      <w:pPr>
        <w:spacing w:after="0" w:line="259" w:lineRule="auto"/>
        <w:ind w:left="-1080" w:right="10976" w:firstLine="0"/>
        <w:jc w:val="left"/>
        <w:rPr>
          <w:lang w:val="es-VE"/>
        </w:rPr>
      </w:pPr>
    </w:p>
    <w:tbl>
      <w:tblPr>
        <w:tblStyle w:val="TableGrid1"/>
        <w:tblW w:w="10982" w:type="dxa"/>
        <w:tblInd w:w="-103" w:type="dxa"/>
        <w:tblCellMar>
          <w:top w:w="59" w:type="dxa"/>
          <w:left w:w="103" w:type="dxa"/>
          <w:right w:w="18" w:type="dxa"/>
        </w:tblCellMar>
        <w:tblLook w:val="04A0" w:firstRow="1" w:lastRow="0" w:firstColumn="1" w:lastColumn="0" w:noHBand="0" w:noVBand="1"/>
      </w:tblPr>
      <w:tblGrid>
        <w:gridCol w:w="2958"/>
        <w:gridCol w:w="1935"/>
        <w:gridCol w:w="6089"/>
      </w:tblGrid>
      <w:tr w:rsidR="008D57FC" w:rsidRPr="00AC0085" w14:paraId="70C50E32" w14:textId="77777777">
        <w:trPr>
          <w:trHeight w:val="3969"/>
        </w:trPr>
        <w:tc>
          <w:tcPr>
            <w:tcW w:w="2958" w:type="dxa"/>
            <w:tcBorders>
              <w:top w:val="single" w:sz="4" w:space="0" w:color="000000" w:themeColor="text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5E2A429" w14:textId="77777777" w:rsidR="008D57FC" w:rsidRPr="00AC0085" w:rsidRDefault="006B69FE">
            <w:pPr>
              <w:pStyle w:val="P68B1DB1-Normal11"/>
              <w:spacing w:after="0" w:line="259" w:lineRule="auto"/>
              <w:ind w:left="0" w:firstLine="0"/>
              <w:jc w:val="left"/>
              <w:rPr>
                <w:lang w:val="es-VE"/>
              </w:rPr>
            </w:pPr>
            <w:r w:rsidRPr="00AC0085">
              <w:rPr>
                <w:b/>
                <w:lang w:val="es-VE"/>
              </w:rPr>
              <w:t xml:space="preserve">Datos de CoC </w:t>
            </w:r>
            <w:r w:rsidRPr="00AC0085">
              <w:rPr>
                <w:lang w:val="es-VE"/>
              </w:rPr>
              <w:t xml:space="preserve"> </w:t>
            </w:r>
          </w:p>
          <w:p w14:paraId="6D7F1D67" w14:textId="77777777" w:rsidR="008D57FC" w:rsidRPr="00AC0085" w:rsidRDefault="006B69FE">
            <w:pPr>
              <w:pStyle w:val="P68B1DB1-Normal11"/>
              <w:spacing w:after="0" w:line="259" w:lineRule="auto"/>
              <w:ind w:left="5" w:firstLine="0"/>
              <w:jc w:val="left"/>
              <w:rPr>
                <w:lang w:val="es-VE"/>
              </w:rPr>
            </w:pPr>
            <w:r w:rsidRPr="00AC0085">
              <w:rPr>
                <w:b/>
                <w:lang w:val="es-VE"/>
              </w:rPr>
              <w:t xml:space="preserve">Comité de Evaluación </w:t>
            </w:r>
            <w:r w:rsidRPr="00AC0085">
              <w:rPr>
                <w:lang w:val="es-VE"/>
              </w:rPr>
              <w:t xml:space="preserve"> </w:t>
            </w:r>
          </w:p>
        </w:tc>
        <w:tc>
          <w:tcPr>
            <w:tcW w:w="1935" w:type="dxa"/>
            <w:tcBorders>
              <w:top w:val="single" w:sz="4" w:space="0" w:color="000000" w:themeColor="text1"/>
              <w:left w:val="single" w:sz="12" w:space="0" w:color="FFFFFF" w:themeColor="background1"/>
              <w:bottom w:val="single" w:sz="8" w:space="0" w:color="F2F2F2" w:themeColor="background1" w:themeShade="F2"/>
              <w:right w:val="single" w:sz="12" w:space="0" w:color="FFFFFF" w:themeColor="background1"/>
            </w:tcBorders>
            <w:shd w:val="clear" w:color="auto" w:fill="F2F2F2" w:themeFill="background1" w:themeFillShade="F2"/>
            <w:vAlign w:val="center"/>
          </w:tcPr>
          <w:p w14:paraId="06F05753" w14:textId="56E5CA74" w:rsidR="008D57FC" w:rsidRPr="00AC0085" w:rsidRDefault="006B69FE">
            <w:pPr>
              <w:pStyle w:val="P68B1DB1-Normal11"/>
              <w:spacing w:after="0" w:line="259" w:lineRule="auto"/>
              <w:ind w:left="2" w:right="429" w:firstLine="0"/>
              <w:jc w:val="left"/>
              <w:rPr>
                <w:lang w:val="es-VE"/>
              </w:rPr>
            </w:pPr>
            <w:r w:rsidRPr="00AC0085">
              <w:rPr>
                <w:lang w:val="es-VE"/>
              </w:rPr>
              <w:t xml:space="preserve">Monitoreo </w:t>
            </w:r>
            <w:r w:rsidR="00D220B3">
              <w:rPr>
                <w:lang w:val="es-VE"/>
              </w:rPr>
              <w:t xml:space="preserve">y </w:t>
            </w:r>
            <w:r w:rsidRPr="00AC0085">
              <w:rPr>
                <w:lang w:val="es-VE"/>
              </w:rPr>
              <w:t xml:space="preserve">evaluación </w:t>
            </w:r>
          </w:p>
        </w:tc>
        <w:tc>
          <w:tcPr>
            <w:tcW w:w="6089" w:type="dxa"/>
            <w:tcBorders>
              <w:top w:val="single" w:sz="4" w:space="0" w:color="000000" w:themeColor="text1"/>
              <w:left w:val="single" w:sz="12" w:space="0" w:color="FFFFFF" w:themeColor="background1"/>
              <w:bottom w:val="single" w:sz="8" w:space="0" w:color="FFFFFF" w:themeColor="background1"/>
              <w:right w:val="nil"/>
            </w:tcBorders>
            <w:shd w:val="clear" w:color="auto" w:fill="F2F2F2" w:themeFill="background1" w:themeFillShade="F2"/>
          </w:tcPr>
          <w:p w14:paraId="3C93889D" w14:textId="77777777" w:rsidR="008D57FC" w:rsidRPr="00AC0085" w:rsidRDefault="006B69FE">
            <w:pPr>
              <w:pStyle w:val="P68B1DB1-Normal11"/>
              <w:spacing w:after="43" w:line="259" w:lineRule="auto"/>
              <w:ind w:left="721" w:hanging="360"/>
              <w:jc w:val="left"/>
              <w:rPr>
                <w:lang w:val="es-VE"/>
              </w:rPr>
            </w:pPr>
            <w:r w:rsidRPr="00AC0085">
              <w:rPr>
                <w:rFonts w:ascii="Arial" w:hAnsi="Wingdings"/>
                <w:lang w:val="es-VE"/>
              </w:rPr>
              <w:t></w:t>
            </w:r>
            <w:r w:rsidRPr="00AC0085">
              <w:rPr>
                <w:rFonts w:ascii="Arial" w:hAnsi="Wingdings"/>
                <w:lang w:val="es-VE"/>
              </w:rPr>
              <w:t xml:space="preserve"> </w:t>
            </w:r>
            <w:r w:rsidRPr="00AC0085">
              <w:rPr>
                <w:lang w:val="es-VE"/>
              </w:rPr>
              <w:t xml:space="preserve">Apoyar los procesos de Datos y Evaluación de CoC, asegurándose de que los documentos requeridos por el HUD se reciban según sea necesario y a tiempo, incluidos, entre otros, los siguientes: </w:t>
            </w:r>
          </w:p>
          <w:p w14:paraId="3E4B2693" w14:textId="77777777" w:rsidR="008D57FC" w:rsidRPr="00AC0085" w:rsidRDefault="006B69FE">
            <w:pPr>
              <w:pStyle w:val="P68B1DB1-Normal11"/>
              <w:numPr>
                <w:ilvl w:val="0"/>
                <w:numId w:val="5"/>
              </w:numPr>
              <w:spacing w:after="40" w:line="259" w:lineRule="auto"/>
              <w:ind w:hanging="360"/>
              <w:jc w:val="left"/>
              <w:rPr>
                <w:lang w:val="es-VE"/>
              </w:rPr>
            </w:pPr>
            <w:r w:rsidRPr="00AC0085">
              <w:rPr>
                <w:lang w:val="es-VE"/>
              </w:rPr>
              <w:t>El informe protegido de Recuento de Momentos Determinados (PIT, p</w:t>
            </w:r>
            <w:r w:rsidRPr="00AC0085">
              <w:rPr>
                <w:lang w:val="es-VE"/>
              </w:rPr>
              <w:t xml:space="preserve">or sus siglas en inglés) </w:t>
            </w:r>
          </w:p>
          <w:p w14:paraId="6AB9F6F5" w14:textId="77777777" w:rsidR="008D57FC" w:rsidRPr="00AC0085" w:rsidRDefault="006B69FE">
            <w:pPr>
              <w:pStyle w:val="P68B1DB1-Normal11"/>
              <w:numPr>
                <w:ilvl w:val="0"/>
                <w:numId w:val="5"/>
              </w:numPr>
              <w:spacing w:after="42" w:line="259" w:lineRule="auto"/>
              <w:ind w:hanging="360"/>
              <w:jc w:val="left"/>
              <w:rPr>
                <w:lang w:val="es-VE"/>
              </w:rPr>
            </w:pPr>
            <w:r w:rsidRPr="00AC0085">
              <w:rPr>
                <w:lang w:val="es-VE"/>
              </w:rPr>
              <w:t xml:space="preserve">El Recuento de Inventario de Viviendas (HIC, por sus siglas en inglés) </w:t>
            </w:r>
          </w:p>
          <w:p w14:paraId="314EE2A8" w14:textId="7722735B" w:rsidR="008D57FC" w:rsidRPr="00AC0085" w:rsidRDefault="00C31F5F">
            <w:pPr>
              <w:pStyle w:val="P68B1DB1-Normal11"/>
              <w:numPr>
                <w:ilvl w:val="0"/>
                <w:numId w:val="5"/>
              </w:numPr>
              <w:spacing w:after="43" w:line="259" w:lineRule="auto"/>
              <w:ind w:hanging="360"/>
              <w:jc w:val="left"/>
              <w:rPr>
                <w:lang w:val="es-VE"/>
              </w:rPr>
            </w:pPr>
            <w:r>
              <w:rPr>
                <w:lang w:val="es-VE"/>
              </w:rPr>
              <w:t xml:space="preserve">El </w:t>
            </w:r>
            <w:r w:rsidR="006B69FE" w:rsidRPr="00AC0085">
              <w:rPr>
                <w:lang w:val="es-VE"/>
              </w:rPr>
              <w:t xml:space="preserve">Análisis de Sistemas Longitudinales (LSA, por sus siglas en inglés) </w:t>
            </w:r>
          </w:p>
          <w:p w14:paraId="0DF9EFDB" w14:textId="77777777" w:rsidR="008D57FC" w:rsidRPr="00AC0085" w:rsidRDefault="006B69FE">
            <w:pPr>
              <w:pStyle w:val="P68B1DB1-Normal11"/>
              <w:numPr>
                <w:ilvl w:val="0"/>
                <w:numId w:val="5"/>
              </w:numPr>
              <w:spacing w:after="38" w:line="259" w:lineRule="auto"/>
              <w:ind w:hanging="360"/>
              <w:jc w:val="left"/>
              <w:rPr>
                <w:lang w:val="es-VE"/>
              </w:rPr>
            </w:pPr>
            <w:r w:rsidRPr="00AC0085">
              <w:rPr>
                <w:lang w:val="es-VE"/>
              </w:rPr>
              <w:t xml:space="preserve">El Informe de Desempeño Anual del HMIS </w:t>
            </w:r>
          </w:p>
          <w:p w14:paraId="38359B78" w14:textId="77777777" w:rsidR="008D57FC" w:rsidRPr="00AC0085" w:rsidRDefault="006B69FE">
            <w:pPr>
              <w:pStyle w:val="P68B1DB1-Normal11"/>
              <w:numPr>
                <w:ilvl w:val="0"/>
                <w:numId w:val="5"/>
              </w:numPr>
              <w:spacing w:after="0" w:line="259" w:lineRule="auto"/>
              <w:ind w:hanging="360"/>
              <w:jc w:val="left"/>
              <w:rPr>
                <w:lang w:val="es-VE"/>
              </w:rPr>
            </w:pPr>
            <w:r w:rsidRPr="00AC0085">
              <w:rPr>
                <w:lang w:val="es-VE"/>
              </w:rPr>
              <w:t xml:space="preserve">La Solicitud del Proyecto de Renovación del HMIS </w:t>
            </w:r>
          </w:p>
          <w:p w14:paraId="6C1031F9" w14:textId="77777777" w:rsidR="008D57FC" w:rsidRPr="00AC0085" w:rsidRDefault="006B69FE">
            <w:pPr>
              <w:pStyle w:val="P68B1DB1-Normal1"/>
              <w:spacing w:after="0" w:line="259" w:lineRule="auto"/>
              <w:ind w:left="712" w:firstLine="0"/>
              <w:jc w:val="left"/>
              <w:rPr>
                <w:lang w:val="es-VE"/>
              </w:rPr>
            </w:pPr>
            <w:r w:rsidRPr="00AC0085">
              <w:rPr>
                <w:lang w:val="es-VE"/>
              </w:rPr>
              <w:t xml:space="preserve"> </w:t>
            </w:r>
          </w:p>
        </w:tc>
      </w:tr>
      <w:tr w:rsidR="008D57FC" w:rsidRPr="00AC0085" w14:paraId="4330A896" w14:textId="77777777" w:rsidTr="00225CB8">
        <w:trPr>
          <w:trHeight w:val="918"/>
        </w:trPr>
        <w:tc>
          <w:tcPr>
            <w:tcW w:w="2958"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tcPr>
          <w:p w14:paraId="4CE745D7" w14:textId="77777777" w:rsidR="008D57FC" w:rsidRPr="00AC0085" w:rsidRDefault="006B69FE">
            <w:pPr>
              <w:pStyle w:val="P68B1DB1-Normal11"/>
              <w:spacing w:after="0" w:line="259" w:lineRule="auto"/>
              <w:ind w:left="0" w:firstLine="0"/>
              <w:jc w:val="left"/>
              <w:rPr>
                <w:lang w:val="es-VE"/>
              </w:rPr>
            </w:pPr>
            <w:r w:rsidRPr="00AC0085">
              <w:rPr>
                <w:lang w:val="es-VE"/>
              </w:rPr>
              <w:t xml:space="preserve"> </w:t>
            </w:r>
          </w:p>
        </w:tc>
        <w:tc>
          <w:tcPr>
            <w:tcW w:w="1935" w:type="dxa"/>
            <w:tcBorders>
              <w:top w:val="single" w:sz="8" w:space="0" w:color="F2F2F2" w:themeColor="background1" w:themeShade="F2"/>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tcPr>
          <w:p w14:paraId="7D149327" w14:textId="77777777" w:rsidR="008D57FC" w:rsidRPr="00AC0085" w:rsidRDefault="006B69FE">
            <w:pPr>
              <w:pStyle w:val="P68B1DB1-Normal11"/>
              <w:spacing w:after="0" w:line="259" w:lineRule="auto"/>
              <w:ind w:left="2" w:firstLine="0"/>
              <w:jc w:val="left"/>
              <w:rPr>
                <w:lang w:val="es-VE"/>
              </w:rPr>
            </w:pPr>
            <w:r w:rsidRPr="00AC0085">
              <w:rPr>
                <w:lang w:val="es-VE"/>
              </w:rPr>
              <w:t xml:space="preserve"> </w:t>
            </w:r>
          </w:p>
        </w:tc>
        <w:tc>
          <w:tcPr>
            <w:tcW w:w="6089" w:type="dxa"/>
            <w:tcBorders>
              <w:top w:val="single" w:sz="8" w:space="0" w:color="FFFFFF" w:themeColor="background1"/>
              <w:left w:val="single" w:sz="8" w:space="0" w:color="FFFFFF" w:themeColor="background1"/>
              <w:bottom w:val="single" w:sz="12" w:space="0" w:color="FFFFFF" w:themeColor="background1"/>
              <w:right w:val="single" w:sz="8" w:space="0" w:color="FFFFFF" w:themeColor="background1"/>
            </w:tcBorders>
            <w:shd w:val="clear" w:color="auto" w:fill="F2F2F2" w:themeFill="background1" w:themeFillShade="F2"/>
          </w:tcPr>
          <w:p w14:paraId="056D7601" w14:textId="2E25BB4C" w:rsidR="008D57FC" w:rsidRPr="00AC0085" w:rsidRDefault="006B69FE">
            <w:pPr>
              <w:pStyle w:val="P68B1DB1-Normal11"/>
              <w:spacing w:after="0" w:line="259" w:lineRule="auto"/>
              <w:ind w:left="721" w:hanging="360"/>
              <w:jc w:val="left"/>
              <w:rPr>
                <w:lang w:val="es-VE"/>
              </w:rPr>
            </w:pPr>
            <w:r w:rsidRPr="00AC0085">
              <w:rPr>
                <w:rFonts w:ascii="Arial" w:hAnsi="Wingdings"/>
                <w:lang w:val="es-VE"/>
              </w:rPr>
              <w:t></w:t>
            </w:r>
            <w:r w:rsidRPr="00AC0085">
              <w:rPr>
                <w:rFonts w:ascii="Arial" w:hAnsi="Wingdings"/>
                <w:lang w:val="es-VE"/>
              </w:rPr>
              <w:t xml:space="preserve"> </w:t>
            </w:r>
            <w:r w:rsidRPr="00AC0085">
              <w:rPr>
                <w:lang w:val="es-VE"/>
              </w:rPr>
              <w:t>Revisar anualmente, hacer recomendaciones y ayudar a revisar, si es necesario, las políticas de recopilación de datos, informes y</w:t>
            </w:r>
            <w:r w:rsidR="00C31F5F">
              <w:rPr>
                <w:lang w:val="es-VE"/>
              </w:rPr>
              <w:t xml:space="preserve"> </w:t>
            </w:r>
            <w:r w:rsidRPr="00AC0085">
              <w:rPr>
                <w:lang w:val="es-VE"/>
              </w:rPr>
              <w:t>privacidad. Esto incluye, entre otros, un plan de privacidad, un plan de seguridad de datos, el Acta Constitutiva del HMIS y u</w:t>
            </w:r>
            <w:r w:rsidRPr="00AC0085">
              <w:rPr>
                <w:lang w:val="es-VE"/>
              </w:rPr>
              <w:t xml:space="preserve">n plan de calidad de datos, requerido por el HUD para su implementación dentro de los 6 meses </w:t>
            </w:r>
            <w:r w:rsidRPr="00AC0085">
              <w:rPr>
                <w:lang w:val="es-VE"/>
              </w:rPr>
              <w:lastRenderedPageBreak/>
              <w:t xml:space="preserve">posteriores a la publicación de la Regla Final del HMIS. </w:t>
            </w:r>
          </w:p>
        </w:tc>
      </w:tr>
      <w:tr w:rsidR="008D57FC" w:rsidRPr="00AC0085" w14:paraId="0F4754F4" w14:textId="77777777">
        <w:trPr>
          <w:trHeight w:val="4440"/>
        </w:trPr>
        <w:tc>
          <w:tcPr>
            <w:tcW w:w="29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253B9705" w14:textId="77777777" w:rsidR="008D57FC" w:rsidRPr="00AC0085" w:rsidRDefault="006B69FE">
            <w:pPr>
              <w:pStyle w:val="P68B1DB1-Normal11"/>
              <w:spacing w:after="0" w:line="259" w:lineRule="auto"/>
              <w:ind w:left="0" w:firstLine="0"/>
              <w:jc w:val="left"/>
              <w:rPr>
                <w:lang w:val="es-VE"/>
              </w:rPr>
            </w:pPr>
            <w:r w:rsidRPr="00AC0085">
              <w:rPr>
                <w:lang w:val="es-VE"/>
              </w:rPr>
              <w:t xml:space="preserve"> </w:t>
            </w:r>
          </w:p>
        </w:tc>
        <w:tc>
          <w:tcPr>
            <w:tcW w:w="193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52553BD" w14:textId="77777777" w:rsidR="008D57FC" w:rsidRPr="00AC0085" w:rsidRDefault="006B69FE">
            <w:pPr>
              <w:pStyle w:val="P68B1DB1-Normal11"/>
              <w:spacing w:after="0" w:line="259" w:lineRule="auto"/>
              <w:ind w:left="2" w:firstLine="0"/>
              <w:jc w:val="left"/>
              <w:rPr>
                <w:lang w:val="es-VE"/>
              </w:rPr>
            </w:pPr>
            <w:r w:rsidRPr="00AC0085">
              <w:rPr>
                <w:lang w:val="es-VE"/>
              </w:rPr>
              <w:t xml:space="preserve"> </w:t>
            </w:r>
          </w:p>
        </w:tc>
        <w:tc>
          <w:tcPr>
            <w:tcW w:w="608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743606E" w14:textId="7002DC4E" w:rsidR="008D57FC" w:rsidRPr="00AC0085" w:rsidRDefault="006B69FE">
            <w:pPr>
              <w:pStyle w:val="P68B1DB1-Normal11"/>
              <w:spacing w:after="40" w:line="258" w:lineRule="auto"/>
              <w:ind w:left="721" w:right="20" w:hanging="360"/>
              <w:jc w:val="left"/>
              <w:rPr>
                <w:lang w:val="es-VE"/>
              </w:rPr>
            </w:pPr>
            <w:r w:rsidRPr="00AC0085">
              <w:rPr>
                <w:rFonts w:ascii="Arial" w:hAnsi="Wingdings"/>
                <w:lang w:val="es-VE"/>
              </w:rPr>
              <w:t></w:t>
            </w:r>
            <w:r w:rsidRPr="00AC0085">
              <w:rPr>
                <w:rFonts w:ascii="Arial" w:hAnsi="Wingdings"/>
                <w:lang w:val="es-VE"/>
              </w:rPr>
              <w:t xml:space="preserve"> </w:t>
            </w:r>
            <w:r w:rsidRPr="00AC0085">
              <w:rPr>
                <w:lang w:val="es-VE"/>
              </w:rPr>
              <w:t>En colaboración con el líder del HMIS, estable</w:t>
            </w:r>
            <w:r w:rsidR="00C31F5F">
              <w:rPr>
                <w:lang w:val="es-VE"/>
              </w:rPr>
              <w:t>cer</w:t>
            </w:r>
            <w:r w:rsidRPr="00AC0085">
              <w:rPr>
                <w:lang w:val="es-VE"/>
              </w:rPr>
              <w:t xml:space="preserve"> medidas de desempeño y objetivos para rastrear el progreso de los CoC hacia la reducción y eliminación de la falta de vivienda, en consulta con los proveedores de CoC. Las posibles estrategias de seguimient</w:t>
            </w:r>
            <w:r w:rsidRPr="00AC0085">
              <w:rPr>
                <w:lang w:val="es-VE"/>
              </w:rPr>
              <w:t xml:space="preserve">o incluyen informes de progreso anuales que incluyen, entre otros, las siguientes áreas: </w:t>
            </w:r>
          </w:p>
          <w:p w14:paraId="7A88A587" w14:textId="77777777" w:rsidR="008D57FC" w:rsidRPr="00AC0085" w:rsidRDefault="006B69FE">
            <w:pPr>
              <w:pStyle w:val="P68B1DB1-Normal11"/>
              <w:numPr>
                <w:ilvl w:val="0"/>
                <w:numId w:val="6"/>
              </w:numPr>
              <w:spacing w:after="43" w:line="259" w:lineRule="auto"/>
              <w:ind w:hanging="360"/>
              <w:jc w:val="left"/>
              <w:rPr>
                <w:lang w:val="es-VE"/>
              </w:rPr>
            </w:pPr>
            <w:r w:rsidRPr="00AC0085">
              <w:rPr>
                <w:lang w:val="es-VE"/>
              </w:rPr>
              <w:t xml:space="preserve">Resultados del proyecto del HMIS </w:t>
            </w:r>
          </w:p>
          <w:p w14:paraId="5C56840E" w14:textId="77777777" w:rsidR="008D57FC" w:rsidRPr="00AC0085" w:rsidRDefault="006B69FE">
            <w:pPr>
              <w:pStyle w:val="P68B1DB1-Normal11"/>
              <w:numPr>
                <w:ilvl w:val="0"/>
                <w:numId w:val="6"/>
              </w:numPr>
              <w:spacing w:after="42" w:line="259" w:lineRule="auto"/>
              <w:ind w:hanging="360"/>
              <w:jc w:val="left"/>
              <w:rPr>
                <w:lang w:val="es-VE"/>
              </w:rPr>
            </w:pPr>
            <w:r w:rsidRPr="00AC0085">
              <w:rPr>
                <w:lang w:val="es-VE"/>
              </w:rPr>
              <w:t xml:space="preserve">Participación de proveedores y cobertura de camas </w:t>
            </w:r>
          </w:p>
          <w:p w14:paraId="5BB758F8" w14:textId="77777777" w:rsidR="008D57FC" w:rsidRPr="00AC0085" w:rsidRDefault="006B69FE">
            <w:pPr>
              <w:pStyle w:val="P68B1DB1-Normal11"/>
              <w:numPr>
                <w:ilvl w:val="0"/>
                <w:numId w:val="6"/>
              </w:numPr>
              <w:spacing w:after="40" w:line="259" w:lineRule="auto"/>
              <w:ind w:hanging="360"/>
              <w:jc w:val="left"/>
              <w:rPr>
                <w:lang w:val="es-VE"/>
              </w:rPr>
            </w:pPr>
            <w:r w:rsidRPr="00AC0085">
              <w:rPr>
                <w:lang w:val="es-VE"/>
              </w:rPr>
              <w:t xml:space="preserve">Resultados del sistema de CoC </w:t>
            </w:r>
          </w:p>
          <w:p w14:paraId="4719AFC8" w14:textId="77777777" w:rsidR="008D57FC" w:rsidRPr="00AC0085" w:rsidRDefault="006B69FE">
            <w:pPr>
              <w:pStyle w:val="P68B1DB1-Normal11"/>
              <w:numPr>
                <w:ilvl w:val="0"/>
                <w:numId w:val="6"/>
              </w:numPr>
              <w:spacing w:after="0" w:line="259" w:lineRule="auto"/>
              <w:ind w:hanging="360"/>
              <w:jc w:val="left"/>
              <w:rPr>
                <w:lang w:val="es-VE"/>
              </w:rPr>
            </w:pPr>
            <w:r w:rsidRPr="00AC0085">
              <w:rPr>
                <w:lang w:val="es-VE"/>
              </w:rPr>
              <w:t>Resultados del proyecto de CoC</w:t>
            </w:r>
          </w:p>
          <w:p w14:paraId="7DDA8D05" w14:textId="751AE231" w:rsidR="008D57FC" w:rsidRPr="00AC0085" w:rsidRDefault="006B69FE">
            <w:pPr>
              <w:pStyle w:val="P68B1DB1-Normal11"/>
              <w:numPr>
                <w:ilvl w:val="0"/>
                <w:numId w:val="6"/>
              </w:numPr>
              <w:spacing w:after="0" w:line="259" w:lineRule="auto"/>
              <w:ind w:hanging="360"/>
              <w:jc w:val="left"/>
              <w:rPr>
                <w:lang w:val="es-VE"/>
              </w:rPr>
            </w:pPr>
            <w:r w:rsidRPr="00AC0085">
              <w:rPr>
                <w:lang w:val="es-VE"/>
              </w:rPr>
              <w:t>Equidad y poblacion</w:t>
            </w:r>
            <w:r w:rsidRPr="00AC0085">
              <w:rPr>
                <w:lang w:val="es-VE"/>
              </w:rPr>
              <w:t>es sobrerrepresentadas</w:t>
            </w:r>
          </w:p>
        </w:tc>
      </w:tr>
      <w:tr w:rsidR="008D57FC" w:rsidRPr="00AC0085" w14:paraId="23F3E27C" w14:textId="77777777">
        <w:trPr>
          <w:trHeight w:val="1490"/>
        </w:trPr>
        <w:tc>
          <w:tcPr>
            <w:tcW w:w="2958" w:type="dxa"/>
            <w:tcBorders>
              <w:top w:val="single" w:sz="12" w:space="0" w:color="FFFFFF" w:themeColor="background1"/>
              <w:left w:val="single" w:sz="12" w:space="0" w:color="FFFFFF" w:themeColor="background1"/>
              <w:right w:val="single" w:sz="12" w:space="0" w:color="FFFFFF" w:themeColor="background1"/>
            </w:tcBorders>
            <w:shd w:val="clear" w:color="auto" w:fill="F2F2F2" w:themeFill="background1" w:themeFillShade="F2"/>
          </w:tcPr>
          <w:p w14:paraId="56051E44" w14:textId="77777777" w:rsidR="008D57FC" w:rsidRPr="00AC0085" w:rsidRDefault="006B69FE">
            <w:pPr>
              <w:pStyle w:val="P68B1DB1-Normal11"/>
              <w:spacing w:after="0" w:line="259" w:lineRule="auto"/>
              <w:ind w:left="0" w:firstLine="0"/>
              <w:jc w:val="left"/>
              <w:rPr>
                <w:lang w:val="es-VE"/>
              </w:rPr>
            </w:pPr>
            <w:r w:rsidRPr="00AC0085">
              <w:rPr>
                <w:lang w:val="es-VE"/>
              </w:rPr>
              <w:t xml:space="preserve"> </w:t>
            </w:r>
          </w:p>
        </w:tc>
        <w:tc>
          <w:tcPr>
            <w:tcW w:w="1935" w:type="dxa"/>
            <w:tcBorders>
              <w:top w:val="single" w:sz="12" w:space="0" w:color="FFFFFF" w:themeColor="background1"/>
              <w:left w:val="single" w:sz="12" w:space="0" w:color="FFFFFF" w:themeColor="background1"/>
              <w:right w:val="single" w:sz="12" w:space="0" w:color="FFFFFF" w:themeColor="background1"/>
            </w:tcBorders>
            <w:shd w:val="clear" w:color="auto" w:fill="F2F2F2" w:themeFill="background1" w:themeFillShade="F2"/>
          </w:tcPr>
          <w:p w14:paraId="554EF5F4" w14:textId="77777777" w:rsidR="008D57FC" w:rsidRPr="00AC0085" w:rsidRDefault="006B69FE">
            <w:pPr>
              <w:pStyle w:val="P68B1DB1-Normal11"/>
              <w:spacing w:after="0" w:line="259" w:lineRule="auto"/>
              <w:ind w:left="2" w:firstLine="0"/>
              <w:jc w:val="left"/>
              <w:rPr>
                <w:lang w:val="es-VE"/>
              </w:rPr>
            </w:pPr>
            <w:r w:rsidRPr="00AC0085">
              <w:rPr>
                <w:lang w:val="es-VE"/>
              </w:rPr>
              <w:t xml:space="preserve"> </w:t>
            </w:r>
          </w:p>
        </w:tc>
        <w:tc>
          <w:tcPr>
            <w:tcW w:w="608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8E7D9F1" w14:textId="4C3138B4" w:rsidR="008D57FC" w:rsidRPr="00AC0085" w:rsidRDefault="006B69FE" w:rsidP="00C31F5F">
            <w:pPr>
              <w:pStyle w:val="P68B1DB1-Normal11"/>
              <w:spacing w:after="1" w:line="258" w:lineRule="auto"/>
              <w:ind w:left="721" w:hanging="360"/>
              <w:jc w:val="left"/>
              <w:rPr>
                <w:lang w:val="es-VE"/>
              </w:rPr>
            </w:pPr>
            <w:r w:rsidRPr="00AC0085">
              <w:rPr>
                <w:rFonts w:ascii="Arial" w:hAnsi="Wingdings"/>
                <w:lang w:val="es-VE"/>
              </w:rPr>
              <w:t></w:t>
            </w:r>
            <w:r w:rsidRPr="00AC0085">
              <w:rPr>
                <w:rFonts w:ascii="Arial" w:hAnsi="Wingdings"/>
                <w:lang w:val="es-VE"/>
              </w:rPr>
              <w:t xml:space="preserve"> </w:t>
            </w:r>
            <w:r w:rsidRPr="00AC0085">
              <w:rPr>
                <w:lang w:val="es-VE"/>
              </w:rPr>
              <w:t>Supervisar el desempeño, evaluar los resultados y hacer recomendaciones a la Junta con respecto a las acciones que deben tomarse para elevar</w:t>
            </w:r>
            <w:r w:rsidR="00C31F5F">
              <w:rPr>
                <w:lang w:val="es-VE"/>
              </w:rPr>
              <w:t xml:space="preserve"> </w:t>
            </w:r>
            <w:r w:rsidRPr="00AC0085">
              <w:rPr>
                <w:lang w:val="es-VE"/>
              </w:rPr>
              <w:t xml:space="preserve">los programas de bajo rendimiento </w:t>
            </w:r>
          </w:p>
        </w:tc>
      </w:tr>
      <w:tr w:rsidR="008D57FC" w:rsidRPr="00AC0085" w14:paraId="385EB1BB" w14:textId="77777777">
        <w:trPr>
          <w:trHeight w:val="1561"/>
        </w:trPr>
        <w:tc>
          <w:tcPr>
            <w:tcW w:w="2958" w:type="dxa"/>
            <w:tcBorders>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E235B9D" w14:textId="77777777" w:rsidR="008D57FC" w:rsidRPr="00AC0085" w:rsidRDefault="006B69FE">
            <w:pPr>
              <w:pStyle w:val="P68B1DB1-Normal11"/>
              <w:spacing w:after="0" w:line="259" w:lineRule="auto"/>
              <w:ind w:left="0" w:firstLine="0"/>
              <w:jc w:val="left"/>
              <w:rPr>
                <w:lang w:val="es-VE"/>
              </w:rPr>
            </w:pPr>
            <w:r w:rsidRPr="00AC0085">
              <w:rPr>
                <w:lang w:val="es-VE"/>
              </w:rPr>
              <w:t xml:space="preserve"> </w:t>
            </w:r>
          </w:p>
        </w:tc>
        <w:tc>
          <w:tcPr>
            <w:tcW w:w="1935" w:type="dxa"/>
            <w:tcBorders>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6AC4DF1" w14:textId="77777777" w:rsidR="008D57FC" w:rsidRPr="00AC0085" w:rsidRDefault="006B69FE">
            <w:pPr>
              <w:pStyle w:val="P68B1DB1-Normal11"/>
              <w:spacing w:after="0" w:line="259" w:lineRule="auto"/>
              <w:ind w:left="2" w:firstLine="0"/>
              <w:jc w:val="left"/>
              <w:rPr>
                <w:lang w:val="es-VE"/>
              </w:rPr>
            </w:pPr>
            <w:r w:rsidRPr="00AC0085">
              <w:rPr>
                <w:lang w:val="es-VE"/>
              </w:rPr>
              <w:t xml:space="preserve"> </w:t>
            </w:r>
          </w:p>
        </w:tc>
        <w:tc>
          <w:tcPr>
            <w:tcW w:w="608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CE69A1F" w14:textId="77777777" w:rsidR="008D57FC" w:rsidRPr="00AC0085" w:rsidRDefault="006B69FE">
            <w:pPr>
              <w:pStyle w:val="P68B1DB1-Normal11"/>
              <w:numPr>
                <w:ilvl w:val="0"/>
                <w:numId w:val="7"/>
              </w:numPr>
              <w:spacing w:after="40" w:line="259" w:lineRule="auto"/>
              <w:ind w:left="721" w:hanging="360"/>
              <w:jc w:val="left"/>
              <w:rPr>
                <w:lang w:val="es-VE"/>
              </w:rPr>
            </w:pPr>
            <w:r w:rsidRPr="00AC0085">
              <w:rPr>
                <w:lang w:val="es-VE"/>
              </w:rPr>
              <w:t xml:space="preserve">Asegurar la sostenibilidad del proyecto del HMIS mediante la búsqueda continua de fuentes de financiación nuevas y diversificadas </w:t>
            </w:r>
          </w:p>
          <w:p w14:paraId="78FA14E7" w14:textId="77777777" w:rsidR="008D57FC" w:rsidRPr="00AC0085" w:rsidRDefault="006B69FE">
            <w:pPr>
              <w:pStyle w:val="P68B1DB1-Normal11"/>
              <w:numPr>
                <w:ilvl w:val="0"/>
                <w:numId w:val="7"/>
              </w:numPr>
              <w:spacing w:after="0" w:line="259" w:lineRule="auto"/>
              <w:ind w:left="721" w:hanging="360"/>
              <w:jc w:val="left"/>
              <w:rPr>
                <w:lang w:val="es-VE"/>
              </w:rPr>
            </w:pPr>
            <w:r w:rsidRPr="00AC0085">
              <w:rPr>
                <w:lang w:val="es-VE"/>
              </w:rPr>
              <w:t xml:space="preserve">Apoyar y proteger los derechos y la privacidad de los clientes </w:t>
            </w:r>
          </w:p>
        </w:tc>
      </w:tr>
      <w:tr w:rsidR="008D57FC" w:rsidRPr="00AC0085" w14:paraId="38119C32" w14:textId="77777777">
        <w:trPr>
          <w:trHeight w:val="747"/>
        </w:trPr>
        <w:tc>
          <w:tcPr>
            <w:tcW w:w="29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C350279" w14:textId="77777777" w:rsidR="008D57FC" w:rsidRPr="00AC0085" w:rsidRDefault="006B69FE">
            <w:pPr>
              <w:pStyle w:val="P68B1DB1-Normal10"/>
              <w:spacing w:after="0" w:line="259" w:lineRule="auto"/>
              <w:ind w:left="0" w:firstLine="0"/>
              <w:jc w:val="left"/>
              <w:rPr>
                <w:lang w:val="es-VE"/>
              </w:rPr>
            </w:pPr>
            <w:r w:rsidRPr="00AC0085">
              <w:rPr>
                <w:lang w:val="es-VE"/>
              </w:rPr>
              <w:t xml:space="preserve">Membresía de CoC </w:t>
            </w:r>
          </w:p>
        </w:tc>
        <w:tc>
          <w:tcPr>
            <w:tcW w:w="193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41EACBC" w14:textId="77777777" w:rsidR="008D57FC" w:rsidRPr="00AC0085" w:rsidRDefault="006B69FE">
            <w:pPr>
              <w:pStyle w:val="P68B1DB1-Normal11"/>
              <w:spacing w:after="0" w:line="259" w:lineRule="auto"/>
              <w:ind w:left="2" w:firstLine="0"/>
              <w:jc w:val="left"/>
              <w:rPr>
                <w:lang w:val="es-VE"/>
              </w:rPr>
            </w:pPr>
            <w:r w:rsidRPr="00AC0085">
              <w:rPr>
                <w:lang w:val="es-VE"/>
              </w:rPr>
              <w:t xml:space="preserve">Aprobación final </w:t>
            </w:r>
          </w:p>
        </w:tc>
        <w:tc>
          <w:tcPr>
            <w:tcW w:w="608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6A24799" w14:textId="77777777" w:rsidR="008D57FC" w:rsidRPr="00AC0085" w:rsidRDefault="006B69FE">
            <w:pPr>
              <w:pStyle w:val="P68B1DB1-Normal11"/>
              <w:spacing w:after="0" w:line="259" w:lineRule="auto"/>
              <w:ind w:left="721" w:hanging="360"/>
              <w:jc w:val="left"/>
              <w:rPr>
                <w:lang w:val="es-VE"/>
              </w:rPr>
            </w:pPr>
            <w:r w:rsidRPr="00AC0085">
              <w:rPr>
                <w:rFonts w:ascii="Arial" w:hAnsi="Wingdings"/>
                <w:lang w:val="es-VE"/>
              </w:rPr>
              <w:t></w:t>
            </w:r>
            <w:r w:rsidRPr="00AC0085">
              <w:rPr>
                <w:rFonts w:ascii="Arial" w:hAnsi="Wingdings"/>
                <w:lang w:val="es-VE"/>
              </w:rPr>
              <w:t xml:space="preserve"> </w:t>
            </w:r>
            <w:r w:rsidRPr="00AC0085">
              <w:rPr>
                <w:lang w:val="es-VE"/>
              </w:rPr>
              <w:t xml:space="preserve">Proporciona la aprobación final de los cambios al Acta Constitutiva del HMIS (este documento) </w:t>
            </w:r>
          </w:p>
        </w:tc>
      </w:tr>
      <w:tr w:rsidR="008D57FC" w:rsidRPr="00AC0085" w14:paraId="2BD3FDD3" w14:textId="77777777">
        <w:trPr>
          <w:trHeight w:val="758"/>
        </w:trPr>
        <w:tc>
          <w:tcPr>
            <w:tcW w:w="2958" w:type="dxa"/>
            <w:vMerge w:val="restart"/>
            <w:tcBorders>
              <w:top w:val="single" w:sz="12" w:space="0" w:color="FFFFFF" w:themeColor="background1"/>
              <w:left w:val="nil"/>
            </w:tcBorders>
            <w:shd w:val="clear" w:color="auto" w:fill="F2F2F2" w:themeFill="background1" w:themeFillShade="F2"/>
            <w:vAlign w:val="center"/>
          </w:tcPr>
          <w:p w14:paraId="7EAD02C5" w14:textId="77777777" w:rsidR="008D57FC" w:rsidRPr="00AC0085" w:rsidRDefault="006B69FE">
            <w:pPr>
              <w:pStyle w:val="P68B1DB1-Normal11"/>
              <w:spacing w:after="0" w:line="259" w:lineRule="auto"/>
              <w:ind w:left="0" w:firstLine="0"/>
              <w:jc w:val="left"/>
              <w:rPr>
                <w:lang w:val="es-VE"/>
              </w:rPr>
            </w:pPr>
            <w:r w:rsidRPr="00AC0085">
              <w:rPr>
                <w:b/>
                <w:lang w:val="es-VE"/>
              </w:rPr>
              <w:t xml:space="preserve">Junta de CoC </w:t>
            </w:r>
            <w:r w:rsidRPr="00AC0085">
              <w:rPr>
                <w:lang w:val="es-VE"/>
              </w:rPr>
              <w:t xml:space="preserve"> </w:t>
            </w:r>
          </w:p>
        </w:tc>
        <w:tc>
          <w:tcPr>
            <w:tcW w:w="1935" w:type="dxa"/>
            <w:vMerge w:val="restart"/>
            <w:tcBorders>
              <w:top w:val="single" w:sz="12" w:space="0" w:color="FFFFFF" w:themeColor="background1"/>
            </w:tcBorders>
            <w:shd w:val="clear" w:color="auto" w:fill="F2F2F2" w:themeFill="background1" w:themeFillShade="F2"/>
            <w:vAlign w:val="center"/>
          </w:tcPr>
          <w:p w14:paraId="5C99E0FA" w14:textId="77777777" w:rsidR="008D57FC" w:rsidRPr="00AC0085" w:rsidRDefault="006B69FE">
            <w:pPr>
              <w:pStyle w:val="P68B1DB1-Normal11"/>
              <w:spacing w:after="0" w:line="259" w:lineRule="auto"/>
              <w:ind w:left="2" w:firstLine="0"/>
              <w:jc w:val="left"/>
              <w:rPr>
                <w:lang w:val="es-VE"/>
              </w:rPr>
            </w:pPr>
            <w:r w:rsidRPr="00AC0085">
              <w:rPr>
                <w:lang w:val="es-VE"/>
              </w:rPr>
              <w:t xml:space="preserve">Supervisión y </w:t>
            </w:r>
          </w:p>
          <w:p w14:paraId="397FBB64" w14:textId="77777777" w:rsidR="008D57FC" w:rsidRPr="00AC0085" w:rsidRDefault="006B69FE">
            <w:pPr>
              <w:pStyle w:val="P68B1DB1-Normal11"/>
              <w:spacing w:after="0" w:line="259" w:lineRule="auto"/>
              <w:ind w:left="2" w:firstLine="0"/>
              <w:rPr>
                <w:lang w:val="es-VE"/>
              </w:rPr>
            </w:pPr>
            <w:r w:rsidRPr="00AC0085">
              <w:rPr>
                <w:lang w:val="es-VE"/>
              </w:rPr>
              <w:t xml:space="preserve">aprobación final </w:t>
            </w:r>
          </w:p>
        </w:tc>
        <w:tc>
          <w:tcPr>
            <w:tcW w:w="6089" w:type="dxa"/>
            <w:tcBorders>
              <w:top w:val="single" w:sz="12" w:space="0" w:color="FFFFFF" w:themeColor="background1"/>
              <w:right w:val="nil"/>
            </w:tcBorders>
            <w:shd w:val="clear" w:color="auto" w:fill="F2F2F2" w:themeFill="background1" w:themeFillShade="F2"/>
          </w:tcPr>
          <w:p w14:paraId="76360EE9" w14:textId="77777777" w:rsidR="008D57FC" w:rsidRPr="00AC0085" w:rsidRDefault="006B69FE">
            <w:pPr>
              <w:pStyle w:val="P68B1DB1-Normal11"/>
              <w:spacing w:after="0" w:line="259" w:lineRule="auto"/>
              <w:ind w:left="721" w:hanging="360"/>
              <w:jc w:val="left"/>
              <w:rPr>
                <w:lang w:val="es-VE"/>
              </w:rPr>
            </w:pPr>
            <w:r w:rsidRPr="00AC0085">
              <w:rPr>
                <w:rFonts w:ascii="Arial" w:hAnsi="Wingdings"/>
                <w:lang w:val="es-VE"/>
              </w:rPr>
              <w:t></w:t>
            </w:r>
            <w:r w:rsidRPr="00AC0085">
              <w:rPr>
                <w:rFonts w:ascii="Arial" w:hAnsi="Wingdings"/>
                <w:lang w:val="es-VE"/>
              </w:rPr>
              <w:t xml:space="preserve"> </w:t>
            </w:r>
            <w:r w:rsidRPr="00AC0085">
              <w:rPr>
                <w:lang w:val="es-VE"/>
              </w:rPr>
              <w:t xml:space="preserve">Proporciona comentarios sobre la presentación del proyecto de renovación del HMIS al HUD </w:t>
            </w:r>
          </w:p>
        </w:tc>
      </w:tr>
      <w:tr w:rsidR="008D57FC" w:rsidRPr="00AC0085" w14:paraId="15F854A1" w14:textId="77777777">
        <w:trPr>
          <w:trHeight w:val="768"/>
        </w:trPr>
        <w:tc>
          <w:tcPr>
            <w:tcW w:w="0" w:type="auto"/>
            <w:vMerge/>
          </w:tcPr>
          <w:p w14:paraId="53128261" w14:textId="77777777" w:rsidR="008D57FC" w:rsidRPr="00AC0085" w:rsidRDefault="008D57FC">
            <w:pPr>
              <w:spacing w:after="160" w:line="259" w:lineRule="auto"/>
              <w:ind w:left="0" w:firstLine="0"/>
              <w:jc w:val="left"/>
              <w:rPr>
                <w:lang w:val="es-VE"/>
              </w:rPr>
            </w:pPr>
          </w:p>
        </w:tc>
        <w:tc>
          <w:tcPr>
            <w:tcW w:w="0" w:type="auto"/>
            <w:vMerge/>
          </w:tcPr>
          <w:p w14:paraId="62486C05" w14:textId="77777777" w:rsidR="008D57FC" w:rsidRPr="00AC0085" w:rsidRDefault="008D57FC">
            <w:pPr>
              <w:spacing w:after="160" w:line="259" w:lineRule="auto"/>
              <w:ind w:left="0" w:firstLine="0"/>
              <w:jc w:val="left"/>
              <w:rPr>
                <w:lang w:val="es-VE"/>
              </w:rPr>
            </w:pPr>
          </w:p>
        </w:tc>
        <w:tc>
          <w:tcPr>
            <w:tcW w:w="6089" w:type="dxa"/>
            <w:tcBorders>
              <w:left w:val="nil"/>
              <w:bottom w:val="single" w:sz="5" w:space="0" w:color="F2F2F2" w:themeColor="background1" w:themeShade="F2"/>
              <w:right w:val="nil"/>
            </w:tcBorders>
            <w:shd w:val="clear" w:color="auto" w:fill="F2F2F2" w:themeFill="background1" w:themeFillShade="F2"/>
          </w:tcPr>
          <w:p w14:paraId="11D20C22" w14:textId="562AFC6A" w:rsidR="008D57FC" w:rsidRPr="00AC0085" w:rsidRDefault="006B69FE">
            <w:pPr>
              <w:pStyle w:val="P68B1DB1-Normal11"/>
              <w:spacing w:after="0" w:line="259" w:lineRule="auto"/>
              <w:ind w:left="721" w:hanging="360"/>
              <w:jc w:val="left"/>
              <w:rPr>
                <w:lang w:val="es-VE"/>
              </w:rPr>
            </w:pPr>
            <w:r w:rsidRPr="00AC0085">
              <w:rPr>
                <w:rFonts w:ascii="Arial" w:hAnsi="Wingdings"/>
                <w:lang w:val="es-VE"/>
              </w:rPr>
              <w:t xml:space="preserve"> </w:t>
            </w:r>
            <w:r w:rsidR="00716419" w:rsidRPr="00AC0085">
              <w:rPr>
                <w:rFonts w:ascii="Arial" w:hAnsi="Wingdings"/>
                <w:lang w:val="es-VE"/>
              </w:rPr>
              <w:t></w:t>
            </w:r>
            <w:r w:rsidR="00716419">
              <w:rPr>
                <w:rFonts w:ascii="Arial" w:hAnsi="Wingdings"/>
                <w:lang w:val="es-VE"/>
              </w:rPr>
              <w:t xml:space="preserve"> </w:t>
            </w:r>
            <w:r w:rsidRPr="00AC0085">
              <w:rPr>
                <w:lang w:val="es-VE"/>
              </w:rPr>
              <w:t xml:space="preserve">Proporciona la aprobación final de los cambios en los planes de Calidad de Datos, Privacidad y Seguridad de Datos </w:t>
            </w:r>
          </w:p>
        </w:tc>
      </w:tr>
      <w:tr w:rsidR="008D57FC" w:rsidRPr="00AC0085" w14:paraId="1EC539D6" w14:textId="77777777">
        <w:trPr>
          <w:trHeight w:val="1505"/>
        </w:trPr>
        <w:tc>
          <w:tcPr>
            <w:tcW w:w="0" w:type="auto"/>
            <w:vMerge/>
          </w:tcPr>
          <w:p w14:paraId="4101652C" w14:textId="77777777" w:rsidR="008D57FC" w:rsidRPr="00AC0085" w:rsidRDefault="008D57FC">
            <w:pPr>
              <w:spacing w:after="160" w:line="259" w:lineRule="auto"/>
              <w:ind w:left="0" w:firstLine="0"/>
              <w:jc w:val="left"/>
              <w:rPr>
                <w:lang w:val="es-VE"/>
              </w:rPr>
            </w:pPr>
          </w:p>
        </w:tc>
        <w:tc>
          <w:tcPr>
            <w:tcW w:w="0" w:type="auto"/>
            <w:vMerge/>
          </w:tcPr>
          <w:p w14:paraId="4B99056E" w14:textId="77777777" w:rsidR="008D57FC" w:rsidRPr="00AC0085" w:rsidRDefault="008D57FC">
            <w:pPr>
              <w:spacing w:after="160" w:line="259" w:lineRule="auto"/>
              <w:ind w:left="0" w:firstLine="0"/>
              <w:jc w:val="left"/>
              <w:rPr>
                <w:lang w:val="es-VE"/>
              </w:rPr>
            </w:pPr>
          </w:p>
        </w:tc>
        <w:tc>
          <w:tcPr>
            <w:tcW w:w="6089" w:type="dxa"/>
            <w:tcBorders>
              <w:top w:val="single" w:sz="5" w:space="0" w:color="F2F2F2" w:themeColor="background1" w:themeShade="F2"/>
              <w:left w:val="single" w:sz="12" w:space="0" w:color="FFFFFF" w:themeColor="background1"/>
              <w:bottom w:val="single" w:sz="5" w:space="0" w:color="F2F2F2" w:themeColor="background1" w:themeShade="F2"/>
              <w:right w:val="nil"/>
            </w:tcBorders>
            <w:shd w:val="clear" w:color="auto" w:fill="F2F2F2" w:themeFill="background1" w:themeFillShade="F2"/>
          </w:tcPr>
          <w:p w14:paraId="4A330530" w14:textId="77777777" w:rsidR="008D57FC" w:rsidRPr="00AC0085" w:rsidRDefault="006B69FE">
            <w:pPr>
              <w:pStyle w:val="P68B1DB1-Normal11"/>
              <w:spacing w:after="0" w:line="259" w:lineRule="auto"/>
              <w:ind w:left="721" w:hanging="360"/>
              <w:jc w:val="left"/>
              <w:rPr>
                <w:lang w:val="es-VE"/>
              </w:rPr>
            </w:pPr>
            <w:r w:rsidRPr="00AC0085">
              <w:rPr>
                <w:rFonts w:ascii="Arial" w:hAnsi="Wingdings"/>
                <w:lang w:val="es-VE"/>
              </w:rPr>
              <w:t></w:t>
            </w:r>
            <w:r w:rsidRPr="00AC0085">
              <w:rPr>
                <w:rFonts w:ascii="Arial" w:hAnsi="Wingdings"/>
                <w:lang w:val="es-VE"/>
              </w:rPr>
              <w:t xml:space="preserve"> </w:t>
            </w:r>
            <w:r w:rsidRPr="00AC0085">
              <w:rPr>
                <w:lang w:val="es-VE"/>
              </w:rPr>
              <w:t xml:space="preserve">Proporciona supervisión fiscal: revisa las actividades y costos del HMIS al menos una vez al año para garantizar que todas las actividades y costos sean elegibles según lo define el HUD (Anexo 1) </w:t>
            </w:r>
          </w:p>
        </w:tc>
      </w:tr>
      <w:tr w:rsidR="008D57FC" w:rsidRPr="00AC0085" w14:paraId="5E0305CB" w14:textId="77777777">
        <w:trPr>
          <w:trHeight w:val="1494"/>
        </w:trPr>
        <w:tc>
          <w:tcPr>
            <w:tcW w:w="0" w:type="auto"/>
            <w:vMerge/>
          </w:tcPr>
          <w:p w14:paraId="1299C43A" w14:textId="77777777" w:rsidR="008D57FC" w:rsidRPr="00AC0085" w:rsidRDefault="008D57FC">
            <w:pPr>
              <w:spacing w:after="160" w:line="259" w:lineRule="auto"/>
              <w:ind w:left="0" w:firstLine="0"/>
              <w:jc w:val="left"/>
              <w:rPr>
                <w:lang w:val="es-VE"/>
              </w:rPr>
            </w:pPr>
          </w:p>
        </w:tc>
        <w:tc>
          <w:tcPr>
            <w:tcW w:w="0" w:type="auto"/>
            <w:vMerge/>
          </w:tcPr>
          <w:p w14:paraId="4DDBEF00" w14:textId="77777777" w:rsidR="008D57FC" w:rsidRPr="00AC0085" w:rsidRDefault="008D57FC">
            <w:pPr>
              <w:spacing w:after="160" w:line="259" w:lineRule="auto"/>
              <w:ind w:left="0" w:firstLine="0"/>
              <w:jc w:val="left"/>
              <w:rPr>
                <w:lang w:val="es-VE"/>
              </w:rPr>
            </w:pPr>
          </w:p>
        </w:tc>
        <w:tc>
          <w:tcPr>
            <w:tcW w:w="6089" w:type="dxa"/>
            <w:tcBorders>
              <w:top w:val="single" w:sz="5" w:space="0" w:color="F2F2F2" w:themeColor="background1" w:themeShade="F2"/>
              <w:left w:val="single" w:sz="12" w:space="0" w:color="FFFFFF" w:themeColor="background1"/>
              <w:bottom w:val="single" w:sz="4" w:space="0" w:color="000000" w:themeColor="text1"/>
              <w:right w:val="nil"/>
            </w:tcBorders>
            <w:shd w:val="clear" w:color="auto" w:fill="F2F2F2" w:themeFill="background1" w:themeFillShade="F2"/>
          </w:tcPr>
          <w:p w14:paraId="7F30140D" w14:textId="77777777" w:rsidR="008D57FC" w:rsidRPr="00AC0085" w:rsidRDefault="006B69FE">
            <w:pPr>
              <w:pStyle w:val="P68B1DB1-Normal11"/>
              <w:spacing w:after="0" w:line="259" w:lineRule="auto"/>
              <w:ind w:left="721" w:hanging="360"/>
              <w:jc w:val="left"/>
              <w:rPr>
                <w:lang w:val="es-VE"/>
              </w:rPr>
            </w:pPr>
            <w:r w:rsidRPr="00AC0085">
              <w:rPr>
                <w:rFonts w:ascii="Arial" w:hAnsi="Wingdings"/>
                <w:lang w:val="es-VE"/>
              </w:rPr>
              <w:t></w:t>
            </w:r>
            <w:r w:rsidRPr="00AC0085">
              <w:rPr>
                <w:rFonts w:ascii="Arial" w:hAnsi="Wingdings"/>
                <w:lang w:val="es-VE"/>
              </w:rPr>
              <w:t xml:space="preserve"> </w:t>
            </w:r>
            <w:r w:rsidRPr="00AC0085">
              <w:rPr>
                <w:lang w:val="es-VE"/>
              </w:rPr>
              <w:t xml:space="preserve">Proporciona supervisión del proyecto: revisa los resultados del proyecto del HMIS al menos una vez al año para garantizar que los esfuerzos estén alineados con los resultados deseados de CoC </w:t>
            </w:r>
          </w:p>
        </w:tc>
      </w:tr>
    </w:tbl>
    <w:p w14:paraId="131F8F3A" w14:textId="77777777" w:rsidR="008D57FC" w:rsidRPr="00AC0085" w:rsidRDefault="006B69FE">
      <w:pPr>
        <w:pStyle w:val="P68B1DB1-Normal12"/>
        <w:spacing w:after="230" w:line="259" w:lineRule="auto"/>
        <w:ind w:left="348" w:firstLine="0"/>
        <w:jc w:val="left"/>
        <w:rPr>
          <w:lang w:val="es-VE"/>
        </w:rPr>
      </w:pPr>
      <w:r w:rsidRPr="00AC0085">
        <w:rPr>
          <w:lang w:val="es-VE"/>
        </w:rPr>
        <w:t xml:space="preserve"> </w:t>
      </w:r>
    </w:p>
    <w:p w14:paraId="252C225E" w14:textId="6AEB6C32" w:rsidR="008D57FC" w:rsidRPr="00AC0085" w:rsidRDefault="006B69FE">
      <w:pPr>
        <w:pStyle w:val="Heading1"/>
        <w:spacing w:after="158"/>
        <w:ind w:left="343"/>
        <w:rPr>
          <w:lang w:val="es-VE"/>
        </w:rPr>
      </w:pPr>
      <w:r w:rsidRPr="00AC0085">
        <w:rPr>
          <w:color w:val="232852"/>
          <w:lang w:val="es-VE"/>
        </w:rPr>
        <w:t xml:space="preserve">Estipulaciones </w:t>
      </w:r>
      <w:r w:rsidRPr="00AC0085">
        <w:rPr>
          <w:lang w:val="es-VE"/>
        </w:rPr>
        <w:t>sobre las responsabilidades</w:t>
      </w:r>
      <w:r w:rsidR="002B41FE">
        <w:rPr>
          <w:lang w:val="es-VE"/>
        </w:rPr>
        <w:t xml:space="preserve"> </w:t>
      </w:r>
      <w:r w:rsidRPr="00AC0085">
        <w:rPr>
          <w:color w:val="232852"/>
          <w:lang w:val="es-VE"/>
        </w:rPr>
        <w:t xml:space="preserve">de supervisión </w:t>
      </w:r>
      <w:r w:rsidRPr="00AC0085">
        <w:rPr>
          <w:lang w:val="es-VE"/>
        </w:rPr>
        <w:t xml:space="preserve">del </w:t>
      </w:r>
      <w:r w:rsidRPr="00AC0085">
        <w:rPr>
          <w:color w:val="232852"/>
          <w:lang w:val="es-VE"/>
        </w:rPr>
        <w:t>HMIS</w:t>
      </w:r>
      <w:r w:rsidRPr="00AC0085">
        <w:rPr>
          <w:b w:val="0"/>
          <w:color w:val="000000"/>
          <w:lang w:val="es-VE"/>
        </w:rPr>
        <w:t xml:space="preserve">  </w:t>
      </w:r>
    </w:p>
    <w:p w14:paraId="2E5B09AC" w14:textId="77777777" w:rsidR="008D57FC" w:rsidRPr="00AC0085" w:rsidRDefault="006B69FE">
      <w:pPr>
        <w:pStyle w:val="Heading2"/>
        <w:rPr>
          <w:lang w:val="es-VE"/>
        </w:rPr>
      </w:pPr>
      <w:r w:rsidRPr="00AC0085">
        <w:rPr>
          <w:lang w:val="es-VE"/>
        </w:rPr>
        <w:t>&gt;Políticas y procedimientos del HMIS</w:t>
      </w:r>
      <w:r w:rsidRPr="00AC0085">
        <w:rPr>
          <w:b w:val="0"/>
          <w:color w:val="000000"/>
          <w:lang w:val="es-VE"/>
        </w:rPr>
        <w:t xml:space="preserve"> </w:t>
      </w:r>
      <w:r w:rsidRPr="00AC0085">
        <w:rPr>
          <w:lang w:val="es-VE"/>
        </w:rPr>
        <w:t xml:space="preserve"> </w:t>
      </w:r>
    </w:p>
    <w:p w14:paraId="3B54C86F" w14:textId="236462DF" w:rsidR="008D57FC" w:rsidRPr="00AC0085" w:rsidRDefault="006B69FE">
      <w:pPr>
        <w:ind w:left="358" w:right="261"/>
        <w:rPr>
          <w:lang w:val="es-VE"/>
        </w:rPr>
      </w:pPr>
      <w:r w:rsidRPr="00AC0085">
        <w:rPr>
          <w:lang w:val="es-VE"/>
        </w:rPr>
        <w:t>El Comité de Evaluación de Datos del HMIS debe revisar las políticas y los procedimientos escritos para la operación del HMIS que se aplican a CoC y sus organizacio</w:t>
      </w:r>
      <w:r w:rsidRPr="00AC0085">
        <w:rPr>
          <w:lang w:val="es-VE"/>
        </w:rPr>
        <w:t xml:space="preserve">nes que participan en el HMIS. Estas políticas y procedimientos serán enviados por el Solicitante Colaborador al Comité de Datos y Evaluación y deben ser aprobados por la Junta de CoC después de la revisión por parte del Comité de D&amp;E. Deben implementarse </w:t>
      </w:r>
      <w:r w:rsidRPr="00AC0085">
        <w:rPr>
          <w:lang w:val="es-VE"/>
        </w:rPr>
        <w:t>dentro de los 6 meses posteriores a la publicación de la Regla Final del HMIS y deben cumplir con todas las leyes y regulaciones federales aplicables, y los requisitos gubernamentales estatales o locales aplicables. El líder del HMIS, el Solicitante Colabo</w:t>
      </w:r>
      <w:r w:rsidRPr="00AC0085">
        <w:rPr>
          <w:lang w:val="es-VE"/>
        </w:rPr>
        <w:t xml:space="preserve">rador y el Comité de Evaluación de Datos no pueden establecer estándares para ninguna organización que contradiga, socave o interfiera con la implementación de los estándares del HMIS según lo prescrito por el HUD en los Estándares Técnicos y de Datos del </w:t>
      </w:r>
      <w:r w:rsidRPr="00AC0085">
        <w:rPr>
          <w:lang w:val="es-VE"/>
        </w:rPr>
        <w:t xml:space="preserve">HMIS. </w:t>
      </w:r>
    </w:p>
    <w:p w14:paraId="5F099BC8" w14:textId="77777777" w:rsidR="008D57FC" w:rsidRPr="00AC0085" w:rsidRDefault="006B69FE">
      <w:pPr>
        <w:pStyle w:val="Heading2"/>
        <w:spacing w:after="113"/>
        <w:rPr>
          <w:lang w:val="es-VE"/>
        </w:rPr>
      </w:pPr>
      <w:r w:rsidRPr="00AC0085">
        <w:rPr>
          <w:lang w:val="es-VE"/>
        </w:rPr>
        <w:t>&gt;Privacidad y seguridad</w:t>
      </w:r>
      <w:r w:rsidRPr="00AC0085">
        <w:rPr>
          <w:b w:val="0"/>
          <w:color w:val="000000"/>
          <w:lang w:val="es-VE"/>
        </w:rPr>
        <w:t xml:space="preserve"> </w:t>
      </w:r>
      <w:r w:rsidRPr="00AC0085">
        <w:rPr>
          <w:lang w:val="es-VE"/>
        </w:rPr>
        <w:t xml:space="preserve"> </w:t>
      </w:r>
    </w:p>
    <w:p w14:paraId="47BD07F0" w14:textId="77777777" w:rsidR="008D57FC" w:rsidRPr="00AC0085" w:rsidRDefault="006B69FE">
      <w:pPr>
        <w:ind w:left="358" w:right="262"/>
        <w:rPr>
          <w:lang w:val="es-VE"/>
        </w:rPr>
      </w:pPr>
      <w:r w:rsidRPr="00AC0085">
        <w:rPr>
          <w:lang w:val="es-VE"/>
        </w:rPr>
        <w:t>CoC, a través del Solicitante Colaborador, debe desarrollar una política de privacidad que puede incluir: limitaciones de recopilación de datos; limitaciones de propósito y uso; usos y divulgaciones permitidos; estándares d</w:t>
      </w:r>
      <w:r w:rsidRPr="00AC0085">
        <w:rPr>
          <w:lang w:val="es-VE"/>
        </w:rPr>
        <w:t>e rendición de cuentas; protecciones para víctimas de violencia doméstica, violencia de pareja, agresión sexual y acecho; y la información adicional que pueda establecer el HUD en los avisos correspondientes. CoC también puede desarrollar una política de A</w:t>
      </w:r>
      <w:r w:rsidRPr="00AC0085">
        <w:rPr>
          <w:lang w:val="es-VE"/>
        </w:rPr>
        <w:t xml:space="preserve">utorización de Divulgación de Datos para designar cuándo, cómo y qué tipo de información se puede compartir. </w:t>
      </w:r>
    </w:p>
    <w:p w14:paraId="455E230F" w14:textId="77777777" w:rsidR="008D57FC" w:rsidRPr="00AC0085" w:rsidRDefault="006B69FE">
      <w:pPr>
        <w:spacing w:after="29" w:line="259" w:lineRule="auto"/>
        <w:ind w:left="363" w:firstLine="0"/>
        <w:jc w:val="left"/>
        <w:rPr>
          <w:lang w:val="es-VE"/>
        </w:rPr>
      </w:pPr>
      <w:r w:rsidRPr="00AC0085">
        <w:rPr>
          <w:lang w:val="es-VE"/>
        </w:rPr>
        <w:t xml:space="preserve"> </w:t>
      </w:r>
    </w:p>
    <w:p w14:paraId="02455EFB" w14:textId="580F1E9D" w:rsidR="008D57FC" w:rsidRPr="00AC0085" w:rsidRDefault="006B69FE">
      <w:pPr>
        <w:spacing w:after="0"/>
        <w:ind w:left="358" w:right="259"/>
        <w:rPr>
          <w:lang w:val="es-VE"/>
        </w:rPr>
      </w:pPr>
      <w:r w:rsidRPr="00AC0085">
        <w:rPr>
          <w:lang w:val="es-VE"/>
        </w:rPr>
        <w:lastRenderedPageBreak/>
        <w:t>Toda organización con acceso a información de identificación protegida debe implementar procedimientos para garantizar y monitorear su cumplimiento con los acuerdos aplicables y los requisitos de esta acta, así como el Plan de Privacidad y Seguridad y el P</w:t>
      </w:r>
      <w:r w:rsidRPr="00AC0085">
        <w:rPr>
          <w:lang w:val="es-VE"/>
        </w:rPr>
        <w:t xml:space="preserve">lan de Calidad de Datos, incluida la aplicación de sanciones por incumplimiento. Además, cada organización participante debe cumplir con la Ley de Privacidad de MA: </w:t>
      </w:r>
      <w:r w:rsidRPr="00AC0085">
        <w:rPr>
          <w:b/>
          <w:lang w:val="es-VE"/>
        </w:rPr>
        <w:t>201 CMR 17.00: Estándares para la Protección de Información Personal de los Residentes de l</w:t>
      </w:r>
      <w:r w:rsidRPr="00AC0085">
        <w:rPr>
          <w:b/>
          <w:lang w:val="es-VE"/>
        </w:rPr>
        <w:t>a Commonwealth</w:t>
      </w:r>
      <w:r w:rsidRPr="00AC0085">
        <w:rPr>
          <w:lang w:val="es-VE"/>
        </w:rPr>
        <w:t>, que incluye, entre otros, el desarrollo de un Programa Escrito de Seguridad de la Información (WISP, por su siglas en inglés); la designación de uno o más empleados para supervisar la implementación del WISP; capacitación continua regular d</w:t>
      </w:r>
      <w:r w:rsidRPr="00AC0085">
        <w:rPr>
          <w:lang w:val="es-VE"/>
        </w:rPr>
        <w:t xml:space="preserve">e los empleados; y procedimientos para monitorear el cumplimiento de los empleados. </w:t>
      </w:r>
    </w:p>
    <w:p w14:paraId="0A8DB014" w14:textId="77777777" w:rsidR="008D57FC" w:rsidRPr="00AC0085" w:rsidRDefault="006B69FE">
      <w:pPr>
        <w:spacing w:after="87" w:line="259" w:lineRule="auto"/>
        <w:ind w:left="363" w:firstLine="0"/>
        <w:jc w:val="left"/>
        <w:rPr>
          <w:lang w:val="es-VE"/>
        </w:rPr>
      </w:pPr>
      <w:r w:rsidRPr="00AC0085">
        <w:rPr>
          <w:lang w:val="es-VE"/>
        </w:rPr>
        <w:t xml:space="preserve"> </w:t>
      </w:r>
    </w:p>
    <w:p w14:paraId="2DF067B1" w14:textId="77777777" w:rsidR="008D57FC" w:rsidRPr="00AC0085" w:rsidRDefault="006B69FE">
      <w:pPr>
        <w:pStyle w:val="P68B1DB1-Heading213"/>
        <w:spacing w:after="0"/>
        <w:ind w:left="343"/>
        <w:rPr>
          <w:lang w:val="es-VE"/>
        </w:rPr>
      </w:pPr>
      <w:r w:rsidRPr="00AC0085">
        <w:rPr>
          <w:color w:val="313771"/>
          <w:lang w:val="es-VE"/>
        </w:rPr>
        <w:t>Responsabilidades de las organizaciones participantes</w:t>
      </w:r>
      <w:r w:rsidRPr="00AC0085">
        <w:rPr>
          <w:color w:val="000000"/>
          <w:lang w:val="es-VE"/>
        </w:rPr>
        <w:t xml:space="preserve">  </w:t>
      </w:r>
    </w:p>
    <w:p w14:paraId="03D8BA8D" w14:textId="77777777" w:rsidR="008D57FC" w:rsidRPr="00AC0085" w:rsidRDefault="006B69FE">
      <w:pPr>
        <w:pStyle w:val="P68B1DB1-Normal1"/>
        <w:spacing w:after="14" w:line="259" w:lineRule="auto"/>
        <w:ind w:left="363" w:firstLine="0"/>
        <w:jc w:val="left"/>
        <w:rPr>
          <w:lang w:val="es-VE"/>
        </w:rPr>
      </w:pPr>
      <w:r w:rsidRPr="00AC0085">
        <w:rPr>
          <w:lang w:val="es-VE"/>
        </w:rPr>
        <w:t xml:space="preserve"> </w:t>
      </w:r>
    </w:p>
    <w:p w14:paraId="5FB0D4CE" w14:textId="77777777" w:rsidR="008D57FC" w:rsidRPr="00AC0085" w:rsidRDefault="006B69FE">
      <w:pPr>
        <w:ind w:left="358" w:right="149"/>
        <w:rPr>
          <w:lang w:val="es-VE"/>
        </w:rPr>
      </w:pPr>
      <w:r w:rsidRPr="00AC0085">
        <w:rPr>
          <w:lang w:val="es-VE"/>
        </w:rPr>
        <w:t>Todas las organizaciones que participan en el HMIS de Three County CoC deben cumplir con las regulaciones feder</w:t>
      </w:r>
      <w:r w:rsidRPr="00AC0085">
        <w:rPr>
          <w:lang w:val="es-VE"/>
        </w:rPr>
        <w:t>ales con respecto al HMIS. Todas las organizaciones participantes deben cumplir con las leyes federales, estatales y locales que requieren privacidad o confidencialidad adicional y deben participar en una capacitación anual sobre seguridad y privacidad pro</w:t>
      </w:r>
      <w:r w:rsidRPr="00AC0085">
        <w:rPr>
          <w:lang w:val="es-VE"/>
        </w:rPr>
        <w:t xml:space="preserve">porcionada por el líder del HMIS o su personal interno de TI. Además, las organizaciones que participan en el HMIS de Three County deben cumplir con las responsabilidades especificadas en el acuerdo de participación firmado con Three County CoC. </w:t>
      </w:r>
    </w:p>
    <w:p w14:paraId="69A0658A" w14:textId="77777777" w:rsidR="008D57FC" w:rsidRPr="00AC0085" w:rsidRDefault="006B69FE">
      <w:pPr>
        <w:spacing w:after="72" w:line="259" w:lineRule="auto"/>
        <w:ind w:left="363" w:firstLine="0"/>
        <w:jc w:val="left"/>
        <w:rPr>
          <w:lang w:val="es-VE"/>
        </w:rPr>
      </w:pPr>
      <w:r w:rsidRPr="00AC0085">
        <w:rPr>
          <w:lang w:val="es-VE"/>
        </w:rPr>
        <w:t xml:space="preserve"> </w:t>
      </w:r>
    </w:p>
    <w:p w14:paraId="2599336E" w14:textId="77777777" w:rsidR="008D57FC" w:rsidRPr="00AC0085" w:rsidRDefault="006B69FE">
      <w:pPr>
        <w:pStyle w:val="P68B1DB1-Normal14"/>
        <w:spacing w:after="0" w:line="259" w:lineRule="auto"/>
        <w:ind w:left="343"/>
        <w:jc w:val="left"/>
        <w:rPr>
          <w:lang w:val="es-VE"/>
        </w:rPr>
      </w:pPr>
      <w:r w:rsidRPr="00AC0085">
        <w:rPr>
          <w:lang w:val="es-VE"/>
        </w:rPr>
        <w:t>&gt;Iguala</w:t>
      </w:r>
      <w:r w:rsidRPr="00AC0085">
        <w:rPr>
          <w:lang w:val="es-VE"/>
        </w:rPr>
        <w:t xml:space="preserve">ción de la subvención del HMIS </w:t>
      </w:r>
    </w:p>
    <w:p w14:paraId="140F2456" w14:textId="77777777" w:rsidR="008D57FC" w:rsidRPr="00AC0085" w:rsidRDefault="006B69FE">
      <w:pPr>
        <w:ind w:left="358" w:right="149"/>
        <w:rPr>
          <w:lang w:val="es-VE"/>
        </w:rPr>
      </w:pPr>
      <w:r w:rsidRPr="00AC0085">
        <w:rPr>
          <w:lang w:val="es-VE"/>
        </w:rPr>
        <w:t>Todas las organizaciones participantes que también son beneficiarias de Proyectos Financiados por CoC deben pagar una parte del 25% de la igualación de subvención del HMIS anualmente como parte de sus obligaciones contratada</w:t>
      </w:r>
      <w:r w:rsidRPr="00AC0085">
        <w:rPr>
          <w:lang w:val="es-VE"/>
        </w:rPr>
        <w:t xml:space="preserve">s. El monto que paga cada subbeneficiario se basa en el porcentaje de la subvención total que recibe. Las organizaciones con Proyectos Financiados por CoC son responsables de pagar la Igualación del HMIS dentro de los 30 días posteriores a la recepción de </w:t>
      </w:r>
      <w:r w:rsidRPr="00AC0085">
        <w:rPr>
          <w:lang w:val="es-VE"/>
        </w:rPr>
        <w:t>un contrato firmado para su subvención. Los fondos de CoC no pueden igualarse con otra subvención de CoC, por lo que los fondos de la Subvención de CoC no se pueden usar para pagar esta tarifa y los fondos utilizados para pagar esta tarifa no se pueden usa</w:t>
      </w:r>
      <w:r w:rsidRPr="00AC0085">
        <w:rPr>
          <w:lang w:val="es-VE"/>
        </w:rPr>
        <w:t xml:space="preserve">r para igualar ningún fondo de subvención de CoC. </w:t>
      </w:r>
    </w:p>
    <w:p w14:paraId="3461D779" w14:textId="77777777" w:rsidR="008D57FC" w:rsidRPr="00AC0085" w:rsidRDefault="006B69FE">
      <w:pPr>
        <w:pStyle w:val="P68B1DB1-Normal15"/>
        <w:spacing w:after="160" w:line="259" w:lineRule="auto"/>
        <w:ind w:left="0" w:firstLine="0"/>
        <w:jc w:val="left"/>
        <w:rPr>
          <w:lang w:val="es-VE"/>
        </w:rPr>
      </w:pPr>
      <w:r w:rsidRPr="00AC0085">
        <w:rPr>
          <w:lang w:val="es-VE"/>
        </w:rPr>
        <w:br w:type="page"/>
      </w:r>
    </w:p>
    <w:p w14:paraId="7DDF41EA" w14:textId="77777777" w:rsidR="008D57FC" w:rsidRPr="00AC0085" w:rsidRDefault="006B69FE">
      <w:pPr>
        <w:pStyle w:val="P68B1DB1-Normal16"/>
        <w:spacing w:after="604" w:line="259" w:lineRule="auto"/>
        <w:ind w:left="2724" w:firstLine="0"/>
        <w:jc w:val="left"/>
        <w:rPr>
          <w:lang w:val="es-VE"/>
        </w:rPr>
      </w:pPr>
      <w:r w:rsidRPr="00AC0085">
        <w:rPr>
          <w:b/>
          <w:lang w:val="es-VE"/>
        </w:rPr>
        <w:lastRenderedPageBreak/>
        <w:t>Anexo 1: Actividades elegibles del HMIS</w:t>
      </w:r>
      <w:r w:rsidRPr="00AC0085">
        <w:rPr>
          <w:lang w:val="es-VE"/>
        </w:rPr>
        <w:t xml:space="preserve"> </w:t>
      </w:r>
      <w:r w:rsidRPr="00AC0085">
        <w:rPr>
          <w:b/>
          <w:lang w:val="es-VE"/>
        </w:rPr>
        <w:t xml:space="preserve"> </w:t>
      </w:r>
    </w:p>
    <w:p w14:paraId="11CED683" w14:textId="77777777" w:rsidR="008D57FC" w:rsidRPr="00AC0085" w:rsidRDefault="006B69FE">
      <w:pPr>
        <w:pStyle w:val="P68B1DB1-Normal17"/>
        <w:spacing w:after="155" w:line="259" w:lineRule="auto"/>
        <w:ind w:left="666"/>
        <w:jc w:val="left"/>
        <w:rPr>
          <w:lang w:val="es-VE"/>
        </w:rPr>
      </w:pPr>
      <w:r w:rsidRPr="00AC0085">
        <w:rPr>
          <w:b/>
          <w:lang w:val="es-VE"/>
        </w:rPr>
        <w:t xml:space="preserve">Actividades elegibles del HMIS </w:t>
      </w:r>
      <w:r w:rsidRPr="00AC0085">
        <w:rPr>
          <w:lang w:val="es-VE"/>
        </w:rPr>
        <w:t xml:space="preserve"> </w:t>
      </w:r>
    </w:p>
    <w:p w14:paraId="699DD218" w14:textId="77777777" w:rsidR="008D57FC" w:rsidRPr="00AC0085" w:rsidRDefault="006B69FE">
      <w:pPr>
        <w:ind w:left="666" w:right="149"/>
        <w:rPr>
          <w:lang w:val="es-VE"/>
        </w:rPr>
      </w:pPr>
      <w:r w:rsidRPr="00AC0085">
        <w:rPr>
          <w:lang w:val="es-VE"/>
        </w:rPr>
        <w:t xml:space="preserve">El líder de HMIS utilizará el Proyecto del HMIS para llevar a cabo las siguientes actividades: </w:t>
      </w:r>
    </w:p>
    <w:p w14:paraId="7A1822E6" w14:textId="77777777" w:rsidR="008D57FC" w:rsidRPr="00AC0085" w:rsidRDefault="006B69FE">
      <w:pPr>
        <w:numPr>
          <w:ilvl w:val="0"/>
          <w:numId w:val="3"/>
        </w:numPr>
        <w:ind w:right="149" w:hanging="415"/>
        <w:rPr>
          <w:lang w:val="es-VE"/>
        </w:rPr>
      </w:pPr>
      <w:r w:rsidRPr="00AC0085">
        <w:rPr>
          <w:lang w:val="es-VE"/>
        </w:rPr>
        <w:t xml:space="preserve">Alojar y mantener software o datos del HMIS; </w:t>
      </w:r>
    </w:p>
    <w:p w14:paraId="4E5660CA" w14:textId="77777777" w:rsidR="008D57FC" w:rsidRPr="00AC0085" w:rsidRDefault="006B69FE">
      <w:pPr>
        <w:numPr>
          <w:ilvl w:val="0"/>
          <w:numId w:val="3"/>
        </w:numPr>
        <w:ind w:right="149" w:hanging="415"/>
        <w:rPr>
          <w:lang w:val="es-VE"/>
        </w:rPr>
      </w:pPr>
      <w:r w:rsidRPr="00AC0085">
        <w:rPr>
          <w:lang w:val="es-VE"/>
        </w:rPr>
        <w:t xml:space="preserve">Copia de seguridad, recuperación y reparación del software o los datos del HMIS; </w:t>
      </w:r>
    </w:p>
    <w:p w14:paraId="15A9CDA5" w14:textId="77777777" w:rsidR="008D57FC" w:rsidRPr="00AC0085" w:rsidRDefault="006B69FE">
      <w:pPr>
        <w:numPr>
          <w:ilvl w:val="0"/>
          <w:numId w:val="3"/>
        </w:numPr>
        <w:ind w:right="149" w:hanging="415"/>
        <w:rPr>
          <w:lang w:val="es-VE"/>
        </w:rPr>
      </w:pPr>
      <w:r w:rsidRPr="00AC0085">
        <w:rPr>
          <w:lang w:val="es-VE"/>
        </w:rPr>
        <w:t xml:space="preserve">Actualizar, personalizar y mejorar el HMIS; </w:t>
      </w:r>
    </w:p>
    <w:p w14:paraId="01839E73" w14:textId="77777777" w:rsidR="008D57FC" w:rsidRPr="00AC0085" w:rsidRDefault="006B69FE">
      <w:pPr>
        <w:numPr>
          <w:ilvl w:val="0"/>
          <w:numId w:val="3"/>
        </w:numPr>
        <w:ind w:right="149" w:hanging="415"/>
        <w:rPr>
          <w:lang w:val="es-VE"/>
        </w:rPr>
      </w:pPr>
      <w:r w:rsidRPr="00AC0085">
        <w:rPr>
          <w:lang w:val="es-VE"/>
        </w:rPr>
        <w:t xml:space="preserve">Integrar y almacenar datos, incluido el desarrollo de un almacén de datos para su uso en la agregación de datos de subbeneficiarios utilizando múltiples sistemas de software; </w:t>
      </w:r>
    </w:p>
    <w:p w14:paraId="4646C706" w14:textId="77777777" w:rsidR="008D57FC" w:rsidRPr="00AC0085" w:rsidRDefault="006B69FE">
      <w:pPr>
        <w:numPr>
          <w:ilvl w:val="0"/>
          <w:numId w:val="3"/>
        </w:numPr>
        <w:spacing w:after="4"/>
        <w:ind w:right="149" w:hanging="415"/>
        <w:rPr>
          <w:lang w:val="es-VE"/>
        </w:rPr>
      </w:pPr>
      <w:r w:rsidRPr="00AC0085">
        <w:rPr>
          <w:lang w:val="es-VE"/>
        </w:rPr>
        <w:t xml:space="preserve">Administración del sistema; </w:t>
      </w:r>
    </w:p>
    <w:p w14:paraId="05032C5C" w14:textId="77777777" w:rsidR="008D57FC" w:rsidRPr="00AC0085" w:rsidRDefault="006B69FE">
      <w:pPr>
        <w:numPr>
          <w:ilvl w:val="0"/>
          <w:numId w:val="3"/>
        </w:numPr>
        <w:ind w:right="149" w:hanging="415"/>
        <w:rPr>
          <w:lang w:val="es-VE"/>
        </w:rPr>
      </w:pPr>
      <w:r w:rsidRPr="00AC0085">
        <w:rPr>
          <w:lang w:val="es-VE"/>
        </w:rPr>
        <w:t>Inform</w:t>
      </w:r>
      <w:r w:rsidRPr="00AC0085">
        <w:rPr>
          <w:lang w:val="es-VE"/>
        </w:rPr>
        <w:t xml:space="preserve">ar a los proveedores, a Continuum y al HUD; </w:t>
      </w:r>
    </w:p>
    <w:p w14:paraId="02DA2257" w14:textId="77777777" w:rsidR="008D57FC" w:rsidRPr="00AC0085" w:rsidRDefault="006B69FE">
      <w:pPr>
        <w:numPr>
          <w:ilvl w:val="0"/>
          <w:numId w:val="3"/>
        </w:numPr>
        <w:ind w:right="149" w:hanging="415"/>
        <w:rPr>
          <w:lang w:val="es-VE"/>
        </w:rPr>
      </w:pPr>
      <w:r w:rsidRPr="00AC0085">
        <w:rPr>
          <w:lang w:val="es-VE"/>
        </w:rPr>
        <w:t xml:space="preserve">Llevar a cabo capacitaciones para los destinatarios sobre el uso del sistema, incluido el costo razonable del viaje a la capacitación; y </w:t>
      </w:r>
    </w:p>
    <w:p w14:paraId="49D357FB" w14:textId="57165E8D" w:rsidR="008D57FC" w:rsidRPr="00AC0085" w:rsidRDefault="006B69FE">
      <w:pPr>
        <w:numPr>
          <w:ilvl w:val="0"/>
          <w:numId w:val="3"/>
        </w:numPr>
        <w:spacing w:after="407"/>
        <w:ind w:right="149" w:hanging="415"/>
        <w:rPr>
          <w:lang w:val="es-VE"/>
        </w:rPr>
      </w:pPr>
      <w:r w:rsidRPr="00AC0085">
        <w:rPr>
          <w:lang w:val="es-VE"/>
        </w:rPr>
        <w:t>Tales actividades adicionales que puedan ser autorizadas por el HUD en la</w:t>
      </w:r>
      <w:r w:rsidRPr="00AC0085">
        <w:rPr>
          <w:lang w:val="es-VE"/>
        </w:rPr>
        <w:t xml:space="preserve"> Norma Propuesta para el HMIS del HUD. </w:t>
      </w:r>
    </w:p>
    <w:p w14:paraId="6872DADD" w14:textId="77777777" w:rsidR="008D57FC" w:rsidRPr="00AC0085" w:rsidRDefault="006B69FE">
      <w:pPr>
        <w:spacing w:after="383" w:line="248" w:lineRule="auto"/>
        <w:ind w:left="661" w:hanging="20"/>
        <w:jc w:val="left"/>
        <w:rPr>
          <w:lang w:val="es-VE"/>
        </w:rPr>
      </w:pPr>
      <w:r w:rsidRPr="00AC0085">
        <w:rPr>
          <w:lang w:val="es-VE"/>
        </w:rPr>
        <w:t>El líder del HMIS puede financiar los costos de personal asociados con los FTE utilizados para (1) la gestión y coordinación de proyectos del HMIS; (2) el análisis de datos; (3) la programación; (4) la asistencia téc</w:t>
      </w:r>
      <w:r w:rsidRPr="00AC0085">
        <w:rPr>
          <w:lang w:val="es-VE"/>
        </w:rPr>
        <w:t xml:space="preserve">nica y capacitación; y (5) el personal de apoyo al proyecto del HMIS. </w:t>
      </w:r>
    </w:p>
    <w:p w14:paraId="3D9401E5" w14:textId="77777777" w:rsidR="008D57FC" w:rsidRPr="00AC0085" w:rsidRDefault="006B69FE">
      <w:pPr>
        <w:spacing w:after="984" w:line="267" w:lineRule="auto"/>
        <w:ind w:left="307" w:firstLine="0"/>
        <w:jc w:val="center"/>
        <w:rPr>
          <w:lang w:val="es-VE"/>
        </w:rPr>
      </w:pPr>
      <w:r w:rsidRPr="00AC0085">
        <w:rPr>
          <w:lang w:val="es-VE"/>
        </w:rPr>
        <w:t>El líder del HMIS puede pagar el espacio y las operaciones necesarias para apoyar al HMIS y al personal del proyecto del HMIS, como espacio de oficina, espacio de servidor central, elec</w:t>
      </w:r>
      <w:r w:rsidRPr="00AC0085">
        <w:rPr>
          <w:lang w:val="es-VE"/>
        </w:rPr>
        <w:t xml:space="preserve">tricidad y otros costos operativos. </w:t>
      </w:r>
    </w:p>
    <w:p w14:paraId="4E8A3AEA" w14:textId="5E25738D" w:rsidR="008D57FC" w:rsidRPr="00E60CB3" w:rsidRDefault="006B69FE">
      <w:pPr>
        <w:spacing w:after="0" w:line="248" w:lineRule="auto"/>
        <w:ind w:left="651"/>
        <w:jc w:val="left"/>
        <w:rPr>
          <w:i/>
          <w:iCs/>
          <w:lang w:val="es-VE"/>
        </w:rPr>
      </w:pPr>
      <w:r w:rsidRPr="00AC0085">
        <w:rPr>
          <w:i/>
          <w:sz w:val="22"/>
          <w:lang w:val="es-VE"/>
        </w:rPr>
        <w:t xml:space="preserve">Adaptado de §580.23 </w:t>
      </w:r>
      <w:r w:rsidRPr="00E60CB3">
        <w:rPr>
          <w:i/>
          <w:color w:val="auto"/>
          <w:sz w:val="22"/>
          <w:lang w:val="es-VE"/>
        </w:rPr>
        <w:t xml:space="preserve">de </w:t>
      </w:r>
      <w:r w:rsidRPr="00E60CB3">
        <w:rPr>
          <w:i/>
          <w:color w:val="auto"/>
          <w:sz w:val="22"/>
          <w:lang w:val="es-VE"/>
        </w:rPr>
        <w:t xml:space="preserve">la </w:t>
      </w:r>
      <w:r w:rsidRPr="00AC0085">
        <w:rPr>
          <w:i/>
          <w:color w:val="16365C"/>
          <w:sz w:val="22"/>
          <w:lang w:val="es-VE"/>
        </w:rPr>
        <w:t>Regla Propuesta del HMIS</w:t>
      </w:r>
      <w:r w:rsidRPr="00AC0085">
        <w:rPr>
          <w:i/>
          <w:sz w:val="22"/>
          <w:lang w:val="es-VE"/>
        </w:rPr>
        <w:t xml:space="preserve"> (2013) y del </w:t>
      </w:r>
      <w:r w:rsidRPr="00AC0085">
        <w:rPr>
          <w:i/>
          <w:color w:val="16365C"/>
          <w:sz w:val="22"/>
          <w:lang w:val="es-VE"/>
        </w:rPr>
        <w:t>Kit de Herramientas de Presupuesto y Dotación de Personal para Sistemas de Información de Gestión de Personas sin Hogar</w:t>
      </w:r>
      <w:r w:rsidRPr="00AC0085">
        <w:rPr>
          <w:i/>
          <w:sz w:val="22"/>
          <w:lang w:val="es-VE"/>
        </w:rPr>
        <w:t xml:space="preserve"> (2011</w:t>
      </w:r>
      <w:r w:rsidR="00E60CB3">
        <w:rPr>
          <w:i/>
          <w:sz w:val="22"/>
          <w:lang w:val="es-VE"/>
        </w:rPr>
        <w:t xml:space="preserve">) </w:t>
      </w:r>
      <w:r w:rsidR="00E60CB3" w:rsidRPr="00E60CB3">
        <w:rPr>
          <w:i/>
          <w:sz w:val="22"/>
          <w:lang w:val="es-VE"/>
        </w:rPr>
        <w:t>del HUD</w:t>
      </w:r>
    </w:p>
    <w:p w14:paraId="2EA285AA" w14:textId="77777777" w:rsidR="008D57FC" w:rsidRPr="00AC0085" w:rsidRDefault="006B69FE">
      <w:pPr>
        <w:pStyle w:val="P68B1DB1-Normal18"/>
        <w:spacing w:after="0" w:line="259" w:lineRule="auto"/>
        <w:ind w:left="346" w:firstLine="0"/>
        <w:jc w:val="left"/>
        <w:rPr>
          <w:lang w:val="es-VE"/>
        </w:rPr>
      </w:pPr>
      <w:r w:rsidRPr="00AC0085">
        <w:rPr>
          <w:lang w:val="es-VE"/>
        </w:rPr>
        <w:t xml:space="preserve"> </w:t>
      </w:r>
    </w:p>
    <w:sectPr w:rsidR="008D57FC" w:rsidRPr="00AC0085">
      <w:footerReference w:type="even" r:id="rId13"/>
      <w:footerReference w:type="default" r:id="rId14"/>
      <w:footerReference w:type="first" r:id="rId15"/>
      <w:pgSz w:w="12240" w:h="15840"/>
      <w:pgMar w:top="1129" w:right="1264" w:bottom="1151"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B2F3" w14:textId="77777777" w:rsidR="006B69FE" w:rsidRDefault="006B69FE">
      <w:pPr>
        <w:spacing w:after="0" w:line="240" w:lineRule="auto"/>
      </w:pPr>
      <w:r>
        <w:separator/>
      </w:r>
    </w:p>
  </w:endnote>
  <w:endnote w:type="continuationSeparator" w:id="0">
    <w:p w14:paraId="31B8C8A4" w14:textId="77777777" w:rsidR="006B69FE" w:rsidRDefault="006B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40BE" w14:textId="77777777" w:rsidR="008D57FC" w:rsidRDefault="006B69FE">
    <w:pPr>
      <w:pStyle w:val="P68B1DB1-Normal1"/>
      <w:spacing w:after="0" w:line="259" w:lineRule="auto"/>
      <w:ind w:left="0" w:right="-375" w:firstLine="0"/>
      <w:jc w:val="right"/>
    </w:pPr>
    <w:r>
      <w:rPr>
        <w:noProof/>
      </w:rPr>
      <w:drawing>
        <wp:anchor distT="0" distB="0" distL="114300" distR="114300" simplePos="0" relativeHeight="251658240" behindDoc="0" locked="0" layoutInCell="1" allowOverlap="1" wp14:anchorId="5D076081" wp14:editId="07777777">
          <wp:simplePos x="0" y="0"/>
          <wp:positionH relativeFrom="page">
            <wp:posOffset>9525</wp:posOffset>
          </wp:positionH>
          <wp:positionV relativeFrom="page">
            <wp:posOffset>9624441</wp:posOffset>
          </wp:positionV>
          <wp:extent cx="7753350" cy="190119"/>
          <wp:effectExtent l="0" t="0" r="0" b="0"/>
          <wp:wrapSquare wrapText="bothSides"/>
          <wp:docPr id="12611" name="Group 12611"/>
          <wp:cNvGraphicFramePr/>
          <a:graphic xmlns:a="http://schemas.openxmlformats.org/drawingml/2006/main">
            <a:graphicData uri="http://schemas.microsoft.com/office/word/2010/wordprocessingGroup">
              <wpg:wgp>
                <wpg:cNvGrpSpPr/>
                <wpg:grpSpPr>
                  <a:xfrm>
                    <a:off x="0" y="0"/>
                    <a:ext cx="7753350" cy="190119"/>
                    <a:chOff x="0" y="0"/>
                    <a:chExt cx="7753350" cy="190119"/>
                  </a:xfrm>
                </wpg:grpSpPr>
                <pic:pic xmlns:pic="http://schemas.openxmlformats.org/drawingml/2006/picture">
                  <pic:nvPicPr>
                    <pic:cNvPr id="12612" name="Picture 12612"/>
                    <pic:cNvPicPr/>
                  </pic:nvPicPr>
                  <pic:blipFill>
                    <a:blip r:embed="rId1"/>
                    <a:stretch>
                      <a:fillRect/>
                    </a:stretch>
                  </pic:blipFill>
                  <pic:spPr>
                    <a:xfrm>
                      <a:off x="6834759" y="7238"/>
                      <a:ext cx="417576" cy="182880"/>
                    </a:xfrm>
                    <a:prstGeom prst="rect">
                      <a:avLst/>
                    </a:prstGeom>
                  </pic:spPr>
                </pic:pic>
                <wps:wsp>
                  <wps:cNvPr id="12615" name="Rectangle 12615"/>
                  <wps:cNvSpPr/>
                  <wps:spPr>
                    <a:xfrm>
                      <a:off x="7014337" y="14325"/>
                      <a:ext cx="93441" cy="206878"/>
                    </a:xfrm>
                    <a:prstGeom prst="rect">
                      <a:avLst/>
                    </a:prstGeom>
                    <a:ln>
                      <a:noFill/>
                    </a:ln>
                  </wps:spPr>
                  <wps:txbx>
                    <w:txbxContent>
                      <w:p w14:paraId="2903CBC8" w14:textId="77777777" w:rsidR="008D57FC" w:rsidRDefault="006B69FE">
                        <w:pPr>
                          <w:spacing w:after="16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color w:val="8C8C8C"/>
                            <w:sz w:val="22"/>
                          </w:rPr>
                          <w:t>2</w:t>
                        </w:r>
                        <w:r>
                          <w:rPr>
                            <w:rFonts w:ascii="Times New Roman" w:eastAsia="Times New Roman" w:hAnsi="Times New Roman" w:cs="Times New Roman"/>
                            <w:color w:val="8C8C8C"/>
                            <w:sz w:val="22"/>
                          </w:rPr>
                          <w:fldChar w:fldCharType="end"/>
                        </w:r>
                      </w:p>
                    </w:txbxContent>
                  </wps:txbx>
                  <wps:bodyPr horzOverflow="overflow" vert="horz" lIns="0" tIns="0" rIns="0" bIns="0" rtlCol="0">
                    <a:noAutofit/>
                  </wps:bodyPr>
                </wps:wsp>
                <wps:wsp>
                  <wps:cNvPr id="12616" name="Rectangle 12616"/>
                  <wps:cNvSpPr/>
                  <wps:spPr>
                    <a:xfrm>
                      <a:off x="7084441" y="14325"/>
                      <a:ext cx="46720" cy="206878"/>
                    </a:xfrm>
                    <a:prstGeom prst="rect">
                      <a:avLst/>
                    </a:prstGeom>
                    <a:ln>
                      <a:noFill/>
                    </a:ln>
                  </wps:spPr>
                  <wps:txbx>
                    <w:txbxContent>
                      <w:p w14:paraId="45FB2F13" w14:textId="77777777" w:rsidR="008D57FC" w:rsidRDefault="006B69FE">
                        <w:pPr>
                          <w:pStyle w:val="P68B1DB1-Normal19"/>
                          <w:spacing w:after="160" w:line="259" w:lineRule="auto"/>
                          <w:ind w:left="0" w:firstLine="0"/>
                          <w:jc w:val="left"/>
                        </w:pPr>
                        <w:r>
                          <w:t xml:space="preserve"> </w:t>
                        </w:r>
                      </w:p>
                    </w:txbxContent>
                  </wps:txbx>
                  <wps:bodyPr horzOverflow="overflow" vert="horz" lIns="0" tIns="0" rIns="0" bIns="0" rtlCol="0">
                    <a:noAutofit/>
                  </wps:bodyPr>
                </wps:wsp>
                <wps:wsp>
                  <wps:cNvPr id="12613" name="Shape 12613"/>
                  <wps:cNvSpPr/>
                  <wps:spPr>
                    <a:xfrm>
                      <a:off x="6956171" y="0"/>
                      <a:ext cx="797179" cy="146050"/>
                    </a:xfrm>
                    <a:custGeom>
                      <a:avLst/>
                      <a:gdLst/>
                      <a:ahLst/>
                      <a:cxnLst/>
                      <a:rect l="0" t="0" r="0" b="0"/>
                      <a:pathLst>
                        <a:path w="797179" h="146050">
                          <a:moveTo>
                            <a:pt x="797179" y="146050"/>
                          </a:moveTo>
                          <a:lnTo>
                            <a:pt x="398653" y="146050"/>
                          </a:lnTo>
                          <a:lnTo>
                            <a:pt x="398653" y="0"/>
                          </a:lnTo>
                          <a:lnTo>
                            <a:pt x="0"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s:wsp>
                  <wps:cNvPr id="12614" name="Shape 12614"/>
                  <wps:cNvSpPr/>
                  <wps:spPr>
                    <a:xfrm>
                      <a:off x="0" y="0"/>
                      <a:ext cx="6956171" cy="146050"/>
                    </a:xfrm>
                    <a:custGeom>
                      <a:avLst/>
                      <a:gdLst/>
                      <a:ahLst/>
                      <a:cxnLst/>
                      <a:rect l="0" t="0" r="0" b="0"/>
                      <a:pathLst>
                        <a:path w="6956171" h="146050">
                          <a:moveTo>
                            <a:pt x="0" y="146050"/>
                          </a:moveTo>
                          <a:lnTo>
                            <a:pt x="6732016" y="146050"/>
                          </a:lnTo>
                          <a:lnTo>
                            <a:pt x="6732016" y="0"/>
                          </a:lnTo>
                          <a:lnTo>
                            <a:pt x="6956171"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g:wgp>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9834" w14:textId="77777777" w:rsidR="008D57FC" w:rsidRDefault="006B69FE">
    <w:pPr>
      <w:pStyle w:val="P68B1DB1-Normal1"/>
      <w:spacing w:after="0" w:line="259" w:lineRule="auto"/>
      <w:ind w:left="0" w:right="-375" w:firstLine="0"/>
      <w:jc w:val="right"/>
    </w:pPr>
    <w:r>
      <w:rPr>
        <w:noProof/>
      </w:rPr>
      <w:drawing>
        <wp:anchor distT="0" distB="0" distL="114300" distR="114300" simplePos="0" relativeHeight="251659264" behindDoc="0" locked="0" layoutInCell="1" allowOverlap="1" wp14:anchorId="604C7E0C" wp14:editId="07777777">
          <wp:simplePos x="0" y="0"/>
          <wp:positionH relativeFrom="page">
            <wp:posOffset>9525</wp:posOffset>
          </wp:positionH>
          <wp:positionV relativeFrom="page">
            <wp:posOffset>9624441</wp:posOffset>
          </wp:positionV>
          <wp:extent cx="7753350" cy="190119"/>
          <wp:effectExtent l="0" t="0" r="0" b="0"/>
          <wp:wrapSquare wrapText="bothSides"/>
          <wp:docPr id="12599" name="Group 12599"/>
          <wp:cNvGraphicFramePr/>
          <a:graphic xmlns:a="http://schemas.openxmlformats.org/drawingml/2006/main">
            <a:graphicData uri="http://schemas.microsoft.com/office/word/2010/wordprocessingGroup">
              <wpg:wgp>
                <wpg:cNvGrpSpPr/>
                <wpg:grpSpPr>
                  <a:xfrm>
                    <a:off x="0" y="0"/>
                    <a:ext cx="7753350" cy="190119"/>
                    <a:chOff x="0" y="0"/>
                    <a:chExt cx="7753350" cy="190119"/>
                  </a:xfrm>
                </wpg:grpSpPr>
                <pic:pic xmlns:pic="http://schemas.openxmlformats.org/drawingml/2006/picture">
                  <pic:nvPicPr>
                    <pic:cNvPr id="12600" name="Picture 12600"/>
                    <pic:cNvPicPr/>
                  </pic:nvPicPr>
                  <pic:blipFill>
                    <a:blip r:embed="rId1"/>
                    <a:stretch>
                      <a:fillRect/>
                    </a:stretch>
                  </pic:blipFill>
                  <pic:spPr>
                    <a:xfrm>
                      <a:off x="6834759" y="7238"/>
                      <a:ext cx="417576" cy="182880"/>
                    </a:xfrm>
                    <a:prstGeom prst="rect">
                      <a:avLst/>
                    </a:prstGeom>
                  </pic:spPr>
                </pic:pic>
                <wps:wsp>
                  <wps:cNvPr id="12603" name="Rectangle 12603"/>
                  <wps:cNvSpPr/>
                  <wps:spPr>
                    <a:xfrm>
                      <a:off x="7014337" y="14325"/>
                      <a:ext cx="93441" cy="206878"/>
                    </a:xfrm>
                    <a:prstGeom prst="rect">
                      <a:avLst/>
                    </a:prstGeom>
                    <a:ln>
                      <a:noFill/>
                    </a:ln>
                  </wps:spPr>
                  <wps:txbx>
                    <w:txbxContent>
                      <w:p w14:paraId="77B8B581" w14:textId="55B4ABE7" w:rsidR="008D57FC" w:rsidRDefault="006B69FE">
                        <w:pPr>
                          <w:spacing w:after="16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color w:val="8C8C8C"/>
                            <w:sz w:val="22"/>
                          </w:rPr>
                          <w:t>8</w:t>
                        </w:r>
                        <w:r>
                          <w:rPr>
                            <w:rFonts w:ascii="Times New Roman" w:eastAsia="Times New Roman" w:hAnsi="Times New Roman" w:cs="Times New Roman"/>
                            <w:color w:val="8C8C8C"/>
                            <w:sz w:val="22"/>
                          </w:rPr>
                          <w:fldChar w:fldCharType="end"/>
                        </w:r>
                      </w:p>
                    </w:txbxContent>
                  </wps:txbx>
                  <wps:bodyPr horzOverflow="overflow" vert="horz" lIns="0" tIns="0" rIns="0" bIns="0" rtlCol="0">
                    <a:noAutofit/>
                  </wps:bodyPr>
                </wps:wsp>
                <wps:wsp>
                  <wps:cNvPr id="12604" name="Rectangle 12604"/>
                  <wps:cNvSpPr/>
                  <wps:spPr>
                    <a:xfrm>
                      <a:off x="7084441" y="14325"/>
                      <a:ext cx="46720" cy="206878"/>
                    </a:xfrm>
                    <a:prstGeom prst="rect">
                      <a:avLst/>
                    </a:prstGeom>
                    <a:ln>
                      <a:noFill/>
                    </a:ln>
                  </wps:spPr>
                  <wps:txbx>
                    <w:txbxContent>
                      <w:p w14:paraId="58BC89FB" w14:textId="77777777" w:rsidR="008D57FC" w:rsidRDefault="006B69FE">
                        <w:pPr>
                          <w:pStyle w:val="P68B1DB1-Normal19"/>
                          <w:spacing w:after="160" w:line="259" w:lineRule="auto"/>
                          <w:ind w:left="0" w:firstLine="0"/>
                          <w:jc w:val="left"/>
                        </w:pPr>
                        <w:r>
                          <w:t xml:space="preserve"> </w:t>
                        </w:r>
                      </w:p>
                    </w:txbxContent>
                  </wps:txbx>
                  <wps:bodyPr horzOverflow="overflow" vert="horz" lIns="0" tIns="0" rIns="0" bIns="0" rtlCol="0">
                    <a:noAutofit/>
                  </wps:bodyPr>
                </wps:wsp>
                <wps:wsp>
                  <wps:cNvPr id="12601" name="Shape 12601"/>
                  <wps:cNvSpPr/>
                  <wps:spPr>
                    <a:xfrm>
                      <a:off x="6956171" y="0"/>
                      <a:ext cx="797179" cy="146050"/>
                    </a:xfrm>
                    <a:custGeom>
                      <a:avLst/>
                      <a:gdLst/>
                      <a:ahLst/>
                      <a:cxnLst/>
                      <a:rect l="0" t="0" r="0" b="0"/>
                      <a:pathLst>
                        <a:path w="797179" h="146050">
                          <a:moveTo>
                            <a:pt x="797179" y="146050"/>
                          </a:moveTo>
                          <a:lnTo>
                            <a:pt x="398653" y="146050"/>
                          </a:lnTo>
                          <a:lnTo>
                            <a:pt x="398653" y="0"/>
                          </a:lnTo>
                          <a:lnTo>
                            <a:pt x="0"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s:wsp>
                  <wps:cNvPr id="12602" name="Shape 12602"/>
                  <wps:cNvSpPr/>
                  <wps:spPr>
                    <a:xfrm>
                      <a:off x="0" y="0"/>
                      <a:ext cx="6956171" cy="146050"/>
                    </a:xfrm>
                    <a:custGeom>
                      <a:avLst/>
                      <a:gdLst/>
                      <a:ahLst/>
                      <a:cxnLst/>
                      <a:rect l="0" t="0" r="0" b="0"/>
                      <a:pathLst>
                        <a:path w="6956171" h="146050">
                          <a:moveTo>
                            <a:pt x="0" y="146050"/>
                          </a:moveTo>
                          <a:lnTo>
                            <a:pt x="6732016" y="146050"/>
                          </a:lnTo>
                          <a:lnTo>
                            <a:pt x="6732016" y="0"/>
                          </a:lnTo>
                          <a:lnTo>
                            <a:pt x="6956171"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g:wgp>
            </a:graphicData>
          </a:graphic>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8D57FC" w:rsidRDefault="008D57F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95E6" w14:textId="77777777" w:rsidR="006B69FE" w:rsidRDefault="006B69FE">
      <w:pPr>
        <w:spacing w:after="0" w:line="240" w:lineRule="auto"/>
      </w:pPr>
      <w:r>
        <w:separator/>
      </w:r>
    </w:p>
  </w:footnote>
  <w:footnote w:type="continuationSeparator" w:id="0">
    <w:p w14:paraId="226E3742" w14:textId="77777777" w:rsidR="006B69FE" w:rsidRDefault="006B6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AE7"/>
    <w:multiLevelType w:val="hybridMultilevel"/>
    <w:tmpl w:val="9808E0BA"/>
    <w:lvl w:ilvl="0" w:tplc="C68699B6">
      <w:start w:val="1"/>
      <w:numFmt w:val="lowerLetter"/>
      <w:lvlText w:val="%1."/>
      <w:lvlJc w:val="left"/>
      <w:pPr>
        <w:ind w:left="1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FC2ED10">
      <w:start w:val="1"/>
      <w:numFmt w:val="lowerLetter"/>
      <w:lvlText w:val="%2"/>
      <w:lvlJc w:val="left"/>
      <w:pPr>
        <w:ind w:left="22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C068D28">
      <w:start w:val="1"/>
      <w:numFmt w:val="lowerRoman"/>
      <w:lvlText w:val="%3"/>
      <w:lvlJc w:val="left"/>
      <w:pPr>
        <w:ind w:left="29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106D06">
      <w:start w:val="1"/>
      <w:numFmt w:val="decimal"/>
      <w:lvlText w:val="%4"/>
      <w:lvlJc w:val="left"/>
      <w:pPr>
        <w:ind w:left="3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4BA6E62">
      <w:start w:val="1"/>
      <w:numFmt w:val="lowerLetter"/>
      <w:lvlText w:val="%5"/>
      <w:lvlJc w:val="left"/>
      <w:pPr>
        <w:ind w:left="44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49634C8">
      <w:start w:val="1"/>
      <w:numFmt w:val="lowerRoman"/>
      <w:lvlText w:val="%6"/>
      <w:lvlJc w:val="left"/>
      <w:pPr>
        <w:ind w:left="5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1F4837C">
      <w:start w:val="1"/>
      <w:numFmt w:val="decimal"/>
      <w:lvlText w:val="%7"/>
      <w:lvlJc w:val="left"/>
      <w:pPr>
        <w:ind w:left="5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548EBA2">
      <w:start w:val="1"/>
      <w:numFmt w:val="lowerLetter"/>
      <w:lvlText w:val="%8"/>
      <w:lvlJc w:val="left"/>
      <w:pPr>
        <w:ind w:left="6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269A4C">
      <w:start w:val="1"/>
      <w:numFmt w:val="lowerRoman"/>
      <w:lvlText w:val="%9"/>
      <w:lvlJc w:val="left"/>
      <w:pPr>
        <w:ind w:left="7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2154991"/>
    <w:multiLevelType w:val="hybridMultilevel"/>
    <w:tmpl w:val="1334F21E"/>
    <w:lvl w:ilvl="0" w:tplc="2A546222">
      <w:start w:val="1"/>
      <w:numFmt w:val="bullet"/>
      <w:lvlText w:val=""/>
      <w:lvlJc w:val="left"/>
      <w:pPr>
        <w:ind w:left="7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BAE8FB0">
      <w:start w:val="1"/>
      <w:numFmt w:val="bullet"/>
      <w:lvlText w:val="o"/>
      <w:lvlJc w:val="left"/>
      <w:pPr>
        <w:ind w:left="154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EE6D8FE">
      <w:start w:val="1"/>
      <w:numFmt w:val="bullet"/>
      <w:lvlText w:val="▪"/>
      <w:lvlJc w:val="left"/>
      <w:pPr>
        <w:ind w:left="226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2184070">
      <w:start w:val="1"/>
      <w:numFmt w:val="bullet"/>
      <w:lvlText w:val="•"/>
      <w:lvlJc w:val="left"/>
      <w:pPr>
        <w:ind w:left="29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36ED772">
      <w:start w:val="1"/>
      <w:numFmt w:val="bullet"/>
      <w:lvlText w:val="o"/>
      <w:lvlJc w:val="left"/>
      <w:pPr>
        <w:ind w:left="370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EC81CAE">
      <w:start w:val="1"/>
      <w:numFmt w:val="bullet"/>
      <w:lvlText w:val="▪"/>
      <w:lvlJc w:val="left"/>
      <w:pPr>
        <w:ind w:left="44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07A8304">
      <w:start w:val="1"/>
      <w:numFmt w:val="bullet"/>
      <w:lvlText w:val="•"/>
      <w:lvlJc w:val="left"/>
      <w:pPr>
        <w:ind w:left="514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886E6E">
      <w:start w:val="1"/>
      <w:numFmt w:val="bullet"/>
      <w:lvlText w:val="o"/>
      <w:lvlJc w:val="left"/>
      <w:pPr>
        <w:ind w:left="586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BE4AF68">
      <w:start w:val="1"/>
      <w:numFmt w:val="bullet"/>
      <w:lvlText w:val="▪"/>
      <w:lvlJc w:val="left"/>
      <w:pPr>
        <w:ind w:left="65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78543C4"/>
    <w:multiLevelType w:val="hybridMultilevel"/>
    <w:tmpl w:val="DE48FE10"/>
    <w:lvl w:ilvl="0" w:tplc="4F0877D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58E5DC">
      <w:start w:val="1"/>
      <w:numFmt w:val="bullet"/>
      <w:lvlText w:val="o"/>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AC3A88">
      <w:start w:val="1"/>
      <w:numFmt w:val="bullet"/>
      <w:lvlText w:val="▪"/>
      <w:lvlJc w:val="left"/>
      <w:pPr>
        <w:ind w:left="1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7E6138">
      <w:start w:val="1"/>
      <w:numFmt w:val="bullet"/>
      <w:lvlText w:val="•"/>
      <w:lvlJc w:val="left"/>
      <w:pPr>
        <w:ind w:left="2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8E4E4">
      <w:start w:val="1"/>
      <w:numFmt w:val="bullet"/>
      <w:lvlText w:val="o"/>
      <w:lvlJc w:val="left"/>
      <w:pPr>
        <w:ind w:left="3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04FB7E">
      <w:start w:val="1"/>
      <w:numFmt w:val="bullet"/>
      <w:lvlText w:val="▪"/>
      <w:lvlJc w:val="left"/>
      <w:pPr>
        <w:ind w:left="3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9A8BB6">
      <w:start w:val="1"/>
      <w:numFmt w:val="bullet"/>
      <w:lvlText w:val="•"/>
      <w:lvlJc w:val="left"/>
      <w:pPr>
        <w:ind w:left="4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AC7B14">
      <w:start w:val="1"/>
      <w:numFmt w:val="bullet"/>
      <w:lvlText w:val="o"/>
      <w:lvlJc w:val="left"/>
      <w:pPr>
        <w:ind w:left="5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587030">
      <w:start w:val="1"/>
      <w:numFmt w:val="bullet"/>
      <w:lvlText w:val="▪"/>
      <w:lvlJc w:val="left"/>
      <w:pPr>
        <w:ind w:left="6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276EE0"/>
    <w:multiLevelType w:val="hybridMultilevel"/>
    <w:tmpl w:val="AB2E8168"/>
    <w:lvl w:ilvl="0" w:tplc="E58826AC">
      <w:start w:val="1"/>
      <w:numFmt w:val="bullet"/>
      <w:lvlText w:val="•"/>
      <w:lvlJc w:val="left"/>
      <w:pPr>
        <w:ind w:left="1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4CA0D0">
      <w:start w:val="1"/>
      <w:numFmt w:val="lowerLetter"/>
      <w:lvlText w:val="%2."/>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1862FE">
      <w:start w:val="1"/>
      <w:numFmt w:val="lowerRoman"/>
      <w:lvlText w:val="%3"/>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C0980A">
      <w:start w:val="1"/>
      <w:numFmt w:val="decimal"/>
      <w:lvlText w:val="%4"/>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AE1168">
      <w:start w:val="1"/>
      <w:numFmt w:val="lowerLetter"/>
      <w:lvlText w:val="%5"/>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D22B20">
      <w:start w:val="1"/>
      <w:numFmt w:val="lowerRoman"/>
      <w:lvlText w:val="%6"/>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C26DD2">
      <w:start w:val="1"/>
      <w:numFmt w:val="decimal"/>
      <w:lvlText w:val="%7"/>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222A36">
      <w:start w:val="1"/>
      <w:numFmt w:val="lowerLetter"/>
      <w:lvlText w:val="%8"/>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88CB30">
      <w:start w:val="1"/>
      <w:numFmt w:val="lowerRoman"/>
      <w:lvlText w:val="%9"/>
      <w:lvlJc w:val="left"/>
      <w:pPr>
        <w:ind w:left="6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2E0BD4"/>
    <w:multiLevelType w:val="hybridMultilevel"/>
    <w:tmpl w:val="FC562852"/>
    <w:lvl w:ilvl="0" w:tplc="57CEF356">
      <w:start w:val="1"/>
      <w:numFmt w:val="decimal"/>
      <w:lvlText w:val="%1."/>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04E8D0">
      <w:start w:val="1"/>
      <w:numFmt w:val="lowerLetter"/>
      <w:lvlText w:val="%2"/>
      <w:lvlJc w:val="left"/>
      <w:pPr>
        <w:ind w:left="1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7C04F4">
      <w:start w:val="1"/>
      <w:numFmt w:val="lowerRoman"/>
      <w:lvlText w:val="%3"/>
      <w:lvlJc w:val="left"/>
      <w:pPr>
        <w:ind w:left="2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DEDFFA">
      <w:start w:val="1"/>
      <w:numFmt w:val="decimal"/>
      <w:lvlText w:val="%4"/>
      <w:lvlJc w:val="left"/>
      <w:pPr>
        <w:ind w:left="3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B604C4">
      <w:start w:val="1"/>
      <w:numFmt w:val="lowerLetter"/>
      <w:lvlText w:val="%5"/>
      <w:lvlJc w:val="left"/>
      <w:pPr>
        <w:ind w:left="3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080154">
      <w:start w:val="1"/>
      <w:numFmt w:val="lowerRoman"/>
      <w:lvlText w:val="%6"/>
      <w:lvlJc w:val="left"/>
      <w:pPr>
        <w:ind w:left="4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CE26B6">
      <w:start w:val="1"/>
      <w:numFmt w:val="decimal"/>
      <w:lvlText w:val="%7"/>
      <w:lvlJc w:val="left"/>
      <w:pPr>
        <w:ind w:left="5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3C6D56">
      <w:start w:val="1"/>
      <w:numFmt w:val="lowerLetter"/>
      <w:lvlText w:val="%8"/>
      <w:lvlJc w:val="left"/>
      <w:pPr>
        <w:ind w:left="6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82B584">
      <w:start w:val="1"/>
      <w:numFmt w:val="lowerRoman"/>
      <w:lvlText w:val="%9"/>
      <w:lvlJc w:val="left"/>
      <w:pPr>
        <w:ind w:left="6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EC7E64"/>
    <w:multiLevelType w:val="hybridMultilevel"/>
    <w:tmpl w:val="E3C49080"/>
    <w:lvl w:ilvl="0" w:tplc="63FC3E7E">
      <w:numFmt w:val="bullet"/>
      <w:lvlText w:val=""/>
      <w:lvlJc w:val="left"/>
      <w:pPr>
        <w:ind w:left="432" w:hanging="360"/>
      </w:pPr>
      <w:rPr>
        <w:rFonts w:ascii="Wingdings" w:eastAsia="Calibri" w:hAnsi="Wingdings" w:cs="Calibri" w:hint="default"/>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abstractNum w:abstractNumId="6" w15:restartNumberingAfterBreak="0">
    <w:nsid w:val="66ED4F28"/>
    <w:multiLevelType w:val="hybridMultilevel"/>
    <w:tmpl w:val="10387C3E"/>
    <w:lvl w:ilvl="0" w:tplc="F7A04290">
      <w:start w:val="1"/>
      <w:numFmt w:val="lowerLetter"/>
      <w:lvlText w:val="%1)"/>
      <w:lvlJc w:val="left"/>
      <w:pPr>
        <w:ind w:left="12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11E52E4">
      <w:start w:val="1"/>
      <w:numFmt w:val="lowerLetter"/>
      <w:lvlText w:val="%2"/>
      <w:lvlJc w:val="left"/>
      <w:pPr>
        <w:ind w:left="2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A41244">
      <w:start w:val="1"/>
      <w:numFmt w:val="lowerRoman"/>
      <w:lvlText w:val="%3"/>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5E859A4">
      <w:start w:val="1"/>
      <w:numFmt w:val="decimal"/>
      <w:lvlText w:val="%4"/>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EE6503C">
      <w:start w:val="1"/>
      <w:numFmt w:val="lowerLetter"/>
      <w:lvlText w:val="%5"/>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AA2DD82">
      <w:start w:val="1"/>
      <w:numFmt w:val="lowerRoman"/>
      <w:lvlText w:val="%6"/>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A5CBFDA">
      <w:start w:val="1"/>
      <w:numFmt w:val="decimal"/>
      <w:lvlText w:val="%7"/>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8EE9A1C">
      <w:start w:val="1"/>
      <w:numFmt w:val="lowerLetter"/>
      <w:lvlText w:val="%8"/>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9A2394A">
      <w:start w:val="1"/>
      <w:numFmt w:val="lowerRoman"/>
      <w:lvlText w:val="%9"/>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82D3679"/>
    <w:multiLevelType w:val="hybridMultilevel"/>
    <w:tmpl w:val="F7DE8AA2"/>
    <w:lvl w:ilvl="0" w:tplc="15001BA0">
      <w:start w:val="1"/>
      <w:numFmt w:val="lowerLetter"/>
      <w:lvlText w:val="%1)"/>
      <w:lvlJc w:val="left"/>
      <w:pPr>
        <w:ind w:left="12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4DE0F00">
      <w:start w:val="1"/>
      <w:numFmt w:val="lowerLetter"/>
      <w:lvlText w:val="%2"/>
      <w:lvlJc w:val="left"/>
      <w:pPr>
        <w:ind w:left="2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354EF6E">
      <w:start w:val="1"/>
      <w:numFmt w:val="lowerRoman"/>
      <w:lvlText w:val="%3"/>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A8A768E">
      <w:start w:val="1"/>
      <w:numFmt w:val="decimal"/>
      <w:lvlText w:val="%4"/>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E943F6E">
      <w:start w:val="1"/>
      <w:numFmt w:val="lowerLetter"/>
      <w:lvlText w:val="%5"/>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E6405B8">
      <w:start w:val="1"/>
      <w:numFmt w:val="lowerRoman"/>
      <w:lvlText w:val="%6"/>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0E156C">
      <w:start w:val="1"/>
      <w:numFmt w:val="decimal"/>
      <w:lvlText w:val="%7"/>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53CCE54">
      <w:start w:val="1"/>
      <w:numFmt w:val="lowerLetter"/>
      <w:lvlText w:val="%8"/>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21416AA">
      <w:start w:val="1"/>
      <w:numFmt w:val="lowerRoman"/>
      <w:lvlText w:val="%9"/>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E00"/>
    <w:rsid w:val="00071C40"/>
    <w:rsid w:val="00074118"/>
    <w:rsid w:val="000A1192"/>
    <w:rsid w:val="001A3501"/>
    <w:rsid w:val="00225CB8"/>
    <w:rsid w:val="002408CF"/>
    <w:rsid w:val="00241BAD"/>
    <w:rsid w:val="00247CD2"/>
    <w:rsid w:val="0028412A"/>
    <w:rsid w:val="002B20EE"/>
    <w:rsid w:val="002B41FE"/>
    <w:rsid w:val="002E618A"/>
    <w:rsid w:val="00307B02"/>
    <w:rsid w:val="00465105"/>
    <w:rsid w:val="004A316D"/>
    <w:rsid w:val="00520CEB"/>
    <w:rsid w:val="0057487F"/>
    <w:rsid w:val="005F5BAF"/>
    <w:rsid w:val="00641E40"/>
    <w:rsid w:val="006629D1"/>
    <w:rsid w:val="006B69FE"/>
    <w:rsid w:val="006F3B3B"/>
    <w:rsid w:val="00716419"/>
    <w:rsid w:val="00732276"/>
    <w:rsid w:val="00755787"/>
    <w:rsid w:val="00785D36"/>
    <w:rsid w:val="007930D9"/>
    <w:rsid w:val="008121FF"/>
    <w:rsid w:val="008D57FC"/>
    <w:rsid w:val="00926DE7"/>
    <w:rsid w:val="00975F72"/>
    <w:rsid w:val="009A55BD"/>
    <w:rsid w:val="00AC0085"/>
    <w:rsid w:val="00B078A0"/>
    <w:rsid w:val="00B62216"/>
    <w:rsid w:val="00B654E2"/>
    <w:rsid w:val="00B81844"/>
    <w:rsid w:val="00B94BD6"/>
    <w:rsid w:val="00BA29D3"/>
    <w:rsid w:val="00BB05DB"/>
    <w:rsid w:val="00BC65CE"/>
    <w:rsid w:val="00C15F18"/>
    <w:rsid w:val="00C31F5F"/>
    <w:rsid w:val="00D109F9"/>
    <w:rsid w:val="00D220B3"/>
    <w:rsid w:val="00D4601D"/>
    <w:rsid w:val="00D51AFA"/>
    <w:rsid w:val="00D7668A"/>
    <w:rsid w:val="00D97BE0"/>
    <w:rsid w:val="00E60CB3"/>
    <w:rsid w:val="00E83774"/>
    <w:rsid w:val="00ECE947"/>
    <w:rsid w:val="00F20E44"/>
    <w:rsid w:val="00F44312"/>
    <w:rsid w:val="00F55FA5"/>
    <w:rsid w:val="00F70E87"/>
    <w:rsid w:val="00F916A7"/>
    <w:rsid w:val="00FA4E00"/>
    <w:rsid w:val="0153B408"/>
    <w:rsid w:val="026B13EF"/>
    <w:rsid w:val="0307E26D"/>
    <w:rsid w:val="03B85714"/>
    <w:rsid w:val="040B61AC"/>
    <w:rsid w:val="04A9C608"/>
    <w:rsid w:val="053F3539"/>
    <w:rsid w:val="05E67CB0"/>
    <w:rsid w:val="06EB7A7A"/>
    <w:rsid w:val="076AA31B"/>
    <w:rsid w:val="07905F47"/>
    <w:rsid w:val="09DEF566"/>
    <w:rsid w:val="0A1700DD"/>
    <w:rsid w:val="0EA18989"/>
    <w:rsid w:val="0FD68FAA"/>
    <w:rsid w:val="1073F434"/>
    <w:rsid w:val="12216FA6"/>
    <w:rsid w:val="14BBFA70"/>
    <w:rsid w:val="15424DC1"/>
    <w:rsid w:val="15B77377"/>
    <w:rsid w:val="197A83C1"/>
    <w:rsid w:val="1A412C8C"/>
    <w:rsid w:val="1B8489ED"/>
    <w:rsid w:val="231A6765"/>
    <w:rsid w:val="23804416"/>
    <w:rsid w:val="24172BD0"/>
    <w:rsid w:val="247FFAD0"/>
    <w:rsid w:val="276DACA9"/>
    <w:rsid w:val="2876A5AC"/>
    <w:rsid w:val="2A92AAF0"/>
    <w:rsid w:val="2A9F1474"/>
    <w:rsid w:val="2AC80D87"/>
    <w:rsid w:val="2BBA31A2"/>
    <w:rsid w:val="2D7A5825"/>
    <w:rsid w:val="2F6C913A"/>
    <w:rsid w:val="2FB171FE"/>
    <w:rsid w:val="2FD08DAD"/>
    <w:rsid w:val="305D8B72"/>
    <w:rsid w:val="307C3F90"/>
    <w:rsid w:val="356BA906"/>
    <w:rsid w:val="37340CAD"/>
    <w:rsid w:val="384C006C"/>
    <w:rsid w:val="391C09CD"/>
    <w:rsid w:val="3A3623E3"/>
    <w:rsid w:val="3CC2993D"/>
    <w:rsid w:val="3CE73DA3"/>
    <w:rsid w:val="3D31A980"/>
    <w:rsid w:val="3E8098F9"/>
    <w:rsid w:val="4005D1C0"/>
    <w:rsid w:val="437E3B89"/>
    <w:rsid w:val="445B7719"/>
    <w:rsid w:val="44ECEBCC"/>
    <w:rsid w:val="45410183"/>
    <w:rsid w:val="47D646F7"/>
    <w:rsid w:val="48B149F6"/>
    <w:rsid w:val="4B82312D"/>
    <w:rsid w:val="4BA1B27E"/>
    <w:rsid w:val="4BCEB000"/>
    <w:rsid w:val="4DA8EB8B"/>
    <w:rsid w:val="4E2C256B"/>
    <w:rsid w:val="4E30AE5A"/>
    <w:rsid w:val="4ED43B63"/>
    <w:rsid w:val="4F1488D2"/>
    <w:rsid w:val="5163C62D"/>
    <w:rsid w:val="51BC392D"/>
    <w:rsid w:val="54466419"/>
    <w:rsid w:val="568FAA50"/>
    <w:rsid w:val="56EFD37E"/>
    <w:rsid w:val="5C77F0C3"/>
    <w:rsid w:val="60B8B42C"/>
    <w:rsid w:val="61F29517"/>
    <w:rsid w:val="6254848D"/>
    <w:rsid w:val="63000225"/>
    <w:rsid w:val="70CED7F6"/>
    <w:rsid w:val="71B4F2FF"/>
    <w:rsid w:val="7260EACC"/>
    <w:rsid w:val="735E6B4A"/>
    <w:rsid w:val="740E663E"/>
    <w:rsid w:val="77C0EEFE"/>
    <w:rsid w:val="7B6F58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FA5C"/>
  <w15:docId w15:val="{F9CB5584-F409-445F-8843-E1B686C8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68" w:lineRule="auto"/>
      <w:ind w:left="373"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356" w:hanging="10"/>
      <w:outlineLvl w:val="0"/>
    </w:pPr>
    <w:rPr>
      <w:rFonts w:ascii="Calibri" w:eastAsia="Calibri" w:hAnsi="Calibri" w:cs="Calibri"/>
      <w:b/>
      <w:color w:val="313771"/>
      <w:sz w:val="32"/>
    </w:rPr>
  </w:style>
  <w:style w:type="paragraph" w:styleId="Heading2">
    <w:name w:val="heading 2"/>
    <w:next w:val="Normal"/>
    <w:link w:val="Heading2Char"/>
    <w:uiPriority w:val="9"/>
    <w:unhideWhenUsed/>
    <w:qFormat/>
    <w:pPr>
      <w:keepNext/>
      <w:keepLines/>
      <w:spacing w:after="50"/>
      <w:ind w:left="358" w:hanging="10"/>
      <w:outlineLvl w:val="1"/>
    </w:pPr>
    <w:rPr>
      <w:rFonts w:ascii="Calibri" w:eastAsia="Calibri" w:hAnsi="Calibri" w:cs="Calibri"/>
      <w:b/>
      <w:color w:val="23285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232852"/>
      <w:sz w:val="28"/>
    </w:rPr>
  </w:style>
  <w:style w:type="character" w:customStyle="1" w:styleId="Heading1Char">
    <w:name w:val="Heading 1 Char"/>
    <w:link w:val="Heading1"/>
    <w:rPr>
      <w:rFonts w:ascii="Calibri" w:eastAsia="Calibri" w:hAnsi="Calibri" w:cs="Calibri"/>
      <w:b/>
      <w:color w:val="313771"/>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rPr>
  </w:style>
  <w:style w:type="character" w:styleId="CommentReference">
    <w:name w:val="annotation reference"/>
    <w:basedOn w:val="DefaultParagraphFont"/>
    <w:uiPriority w:val="99"/>
    <w:semiHidden/>
    <w:unhideWhenUsed/>
    <w:rPr>
      <w:sz w:val="16"/>
    </w:rPr>
  </w:style>
  <w:style w:type="paragraph" w:styleId="BalloonText">
    <w:name w:val="Balloon Text"/>
    <w:basedOn w:val="Normal"/>
    <w:link w:val="BalloonTextChar"/>
    <w:uiPriority w:val="99"/>
    <w:semiHidden/>
    <w:unhideWhenUsed/>
    <w:rsid w:val="00755787"/>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55787"/>
    <w:rPr>
      <w:rFonts w:ascii="Segoe UI" w:eastAsia="Calibri" w:hAnsi="Segoe UI" w:cs="Segoe UI"/>
      <w:color w:val="000000"/>
      <w:sz w:val="18"/>
    </w:rPr>
  </w:style>
  <w:style w:type="paragraph" w:styleId="CommentSubject">
    <w:name w:val="annotation subject"/>
    <w:basedOn w:val="CommentText"/>
    <w:next w:val="CommentText"/>
    <w:link w:val="CommentSubjectChar"/>
    <w:uiPriority w:val="99"/>
    <w:semiHidden/>
    <w:unhideWhenUsed/>
    <w:rsid w:val="00F70E87"/>
    <w:rPr>
      <w:b/>
    </w:rPr>
  </w:style>
  <w:style w:type="character" w:customStyle="1" w:styleId="CommentSubjectChar">
    <w:name w:val="Comment Subject Char"/>
    <w:basedOn w:val="CommentTextChar"/>
    <w:link w:val="CommentSubject"/>
    <w:uiPriority w:val="99"/>
    <w:semiHidden/>
    <w:rsid w:val="00F70E87"/>
    <w:rPr>
      <w:rFonts w:ascii="Calibri" w:eastAsia="Calibri" w:hAnsi="Calibri" w:cs="Calibri"/>
      <w:b/>
      <w:color w:val="000000"/>
      <w:sz w:val="20"/>
    </w:rPr>
  </w:style>
  <w:style w:type="character" w:styleId="Hyperlink">
    <w:name w:val="Hyperlink"/>
    <w:basedOn w:val="DefaultParagraphFont"/>
    <w:uiPriority w:val="99"/>
    <w:unhideWhenUsed/>
    <w:rsid w:val="006F3B3B"/>
    <w:rPr>
      <w:color w:val="0563C1" w:themeColor="hyperlink"/>
      <w:u w:val="single"/>
    </w:rPr>
  </w:style>
  <w:style w:type="paragraph" w:customStyle="1" w:styleId="P68B1DB1-Normal1">
    <w:name w:val="P68B1DB1-Normal1"/>
    <w:basedOn w:val="Normal"/>
    <w:rPr>
      <w:sz w:val="22"/>
    </w:rPr>
  </w:style>
  <w:style w:type="paragraph" w:customStyle="1" w:styleId="P68B1DB1-Normal2">
    <w:name w:val="P68B1DB1-Normal2"/>
    <w:basedOn w:val="Normal"/>
    <w:rPr>
      <w:b/>
      <w:color w:val="191919"/>
      <w:sz w:val="56"/>
    </w:rPr>
  </w:style>
  <w:style w:type="paragraph" w:customStyle="1" w:styleId="P68B1DB1-Normal3">
    <w:name w:val="P68B1DB1-Normal3"/>
    <w:basedOn w:val="Normal"/>
    <w:rPr>
      <w:sz w:val="56"/>
    </w:rPr>
  </w:style>
  <w:style w:type="paragraph" w:customStyle="1" w:styleId="P68B1DB1-Normal4">
    <w:name w:val="P68B1DB1-Normal4"/>
    <w:basedOn w:val="Normal"/>
    <w:rPr>
      <w:i/>
    </w:rPr>
  </w:style>
  <w:style w:type="paragraph" w:customStyle="1" w:styleId="P68B1DB1-Normal5">
    <w:name w:val="P68B1DB1-Normal5"/>
    <w:basedOn w:val="Normal"/>
    <w:rPr>
      <w:i/>
      <w:color w:val="auto"/>
    </w:rPr>
  </w:style>
  <w:style w:type="paragraph" w:customStyle="1" w:styleId="P68B1DB1-Normal6">
    <w:name w:val="P68B1DB1-Normal6"/>
    <w:basedOn w:val="Normal"/>
    <w:rPr>
      <w:b/>
      <w:color w:val="313771"/>
      <w:sz w:val="32"/>
    </w:rPr>
  </w:style>
  <w:style w:type="paragraph" w:customStyle="1" w:styleId="P68B1DB1-Normal7">
    <w:name w:val="P68B1DB1-Normal7"/>
    <w:basedOn w:val="Normal"/>
    <w:rPr>
      <w:color w:val="232852"/>
    </w:rPr>
  </w:style>
  <w:style w:type="paragraph" w:customStyle="1" w:styleId="P68B1DB1-Heading28">
    <w:name w:val="P68B1DB1-Heading28"/>
    <w:basedOn w:val="Heading2"/>
    <w:rPr>
      <w:color w:val="313771"/>
      <w:sz w:val="32"/>
    </w:rPr>
  </w:style>
  <w:style w:type="paragraph" w:customStyle="1" w:styleId="P68B1DB1-Normal9">
    <w:name w:val="P68B1DB1-Normal9"/>
    <w:basedOn w:val="Normal"/>
    <w:rPr>
      <w:b/>
      <w:sz w:val="22"/>
    </w:rPr>
  </w:style>
  <w:style w:type="paragraph" w:customStyle="1" w:styleId="P68B1DB1-Normal10">
    <w:name w:val="P68B1DB1-Normal10"/>
    <w:basedOn w:val="Normal"/>
    <w:rPr>
      <w:b/>
      <w:sz w:val="28"/>
    </w:rPr>
  </w:style>
  <w:style w:type="paragraph" w:customStyle="1" w:styleId="P68B1DB1-Normal11">
    <w:name w:val="P68B1DB1-Normal11"/>
    <w:basedOn w:val="Normal"/>
    <w:rPr>
      <w:sz w:val="28"/>
    </w:rPr>
  </w:style>
  <w:style w:type="paragraph" w:customStyle="1" w:styleId="P68B1DB1-Normal12">
    <w:name w:val="P68B1DB1-Normal12"/>
    <w:basedOn w:val="Normal"/>
    <w:rPr>
      <w:b/>
      <w:color w:val="232852"/>
      <w:sz w:val="28"/>
    </w:rPr>
  </w:style>
  <w:style w:type="paragraph" w:customStyle="1" w:styleId="P68B1DB1-Heading213">
    <w:name w:val="P68B1DB1-Heading213"/>
    <w:basedOn w:val="Heading2"/>
    <w:rPr>
      <w:sz w:val="32"/>
    </w:rPr>
  </w:style>
  <w:style w:type="paragraph" w:customStyle="1" w:styleId="P68B1DB1-Normal14">
    <w:name w:val="P68B1DB1-Normal14"/>
    <w:basedOn w:val="Normal"/>
    <w:rPr>
      <w:b/>
      <w:color w:val="1F4E79"/>
      <w:sz w:val="28"/>
    </w:rPr>
  </w:style>
  <w:style w:type="paragraph" w:customStyle="1" w:styleId="P68B1DB1-Normal15">
    <w:name w:val="P68B1DB1-Normal15"/>
    <w:basedOn w:val="Normal"/>
    <w:rPr>
      <w:b/>
      <w:color w:val="1F4E79"/>
      <w:sz w:val="32"/>
    </w:rPr>
  </w:style>
  <w:style w:type="paragraph" w:customStyle="1" w:styleId="P68B1DB1-Normal16">
    <w:name w:val="P68B1DB1-Normal16"/>
    <w:basedOn w:val="Normal"/>
    <w:rPr>
      <w:color w:val="1F4E79"/>
      <w:sz w:val="32"/>
    </w:rPr>
  </w:style>
  <w:style w:type="paragraph" w:customStyle="1" w:styleId="P68B1DB1-Normal17">
    <w:name w:val="P68B1DB1-Normal17"/>
    <w:basedOn w:val="Normal"/>
    <w:rPr>
      <w:color w:val="1F4E79"/>
      <w:sz w:val="28"/>
    </w:rPr>
  </w:style>
  <w:style w:type="paragraph" w:customStyle="1" w:styleId="P68B1DB1-Normal18">
    <w:name w:val="P68B1DB1-Normal18"/>
    <w:basedOn w:val="Normal"/>
    <w:rPr>
      <w:i/>
      <w:sz w:val="22"/>
    </w:rPr>
  </w:style>
  <w:style w:type="paragraph" w:customStyle="1" w:styleId="P68B1DB1-Normal19">
    <w:name w:val="P68B1DB1-Normal19"/>
    <w:basedOn w:val="Normal"/>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tfocus.com/hmis-softwa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3" ma:contentTypeDescription="Create a new document." ma:contentTypeScope="" ma:versionID="81419b8494eb94527c2d946e431c782d">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fbe643ce4b9af35340185d4adc6d1f0d"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AC4784-2FB7-471F-AFF0-3E1A9DACC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E7B4B-B8BA-46D7-89B7-6C75B1508C02}">
  <ds:schemaRefs>
    <ds:schemaRef ds:uri="http://schemas.microsoft.com/sharepoint/v3/contenttype/forms"/>
  </ds:schemaRefs>
</ds:datastoreItem>
</file>

<file path=customXml/itemProps3.xml><?xml version="1.0" encoding="utf-8"?>
<ds:datastoreItem xmlns:ds="http://schemas.openxmlformats.org/officeDocument/2006/customXml" ds:itemID="{59534922-DA03-4186-9B1D-1948CE337A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3382</Words>
  <Characters>19282</Characters>
  <Application>Microsoft Office Word</Application>
  <DocSecurity>0</DocSecurity>
  <Lines>160</Lines>
  <Paragraphs>45</Paragraphs>
  <ScaleCrop>false</ScaleCrop>
  <Company>Hewlett-Packard Company</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County CoC HMIS Charter</dc:title>
  <dc:subject>Based on template provided by Hampden County CoC</dc:subject>
  <dc:creator>AMiller</dc:creator>
  <cp:keywords/>
  <cp:lastModifiedBy>Yuliana Marley Espinoza Moreno</cp:lastModifiedBy>
  <cp:revision>28</cp:revision>
  <cp:lastPrinted>2021-09-19T13:33:00Z</cp:lastPrinted>
  <dcterms:created xsi:type="dcterms:W3CDTF">2021-09-19T13:33:00Z</dcterms:created>
  <dcterms:modified xsi:type="dcterms:W3CDTF">2022-02-18T20:51:00Z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